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5CDC" w14:textId="77777777" w:rsidR="00D873DF" w:rsidRDefault="00D873DF" w:rsidP="00D873DF">
      <w:bookmarkStart w:id="0" w:name="_GoBack"/>
      <w:bookmarkEnd w:id="0"/>
    </w:p>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6C4C4F00" w:rsidR="00D873DF" w:rsidRDefault="00931A79" w:rsidP="00D873DF">
      <w:pPr>
        <w:pStyle w:val="Title"/>
        <w:rPr>
          <w:sz w:val="40"/>
          <w:szCs w:val="40"/>
        </w:rPr>
      </w:pPr>
      <w:r>
        <w:rPr>
          <w:sz w:val="40"/>
          <w:szCs w:val="40"/>
        </w:rPr>
        <w:t>CME Group</w:t>
      </w:r>
    </w:p>
    <w:p w14:paraId="1ECAFEE4" w14:textId="23B1A034" w:rsidR="00D873DF" w:rsidRDefault="00E627E4" w:rsidP="00D873DF">
      <w:pPr>
        <w:pStyle w:val="Title"/>
        <w:rPr>
          <w:sz w:val="40"/>
          <w:szCs w:val="40"/>
        </w:rPr>
      </w:pPr>
      <w:bookmarkStart w:id="1" w:name="DocTitle"/>
      <w:r>
        <w:rPr>
          <w:sz w:val="40"/>
          <w:szCs w:val="40"/>
        </w:rPr>
        <w:t xml:space="preserve">CME </w:t>
      </w:r>
      <w:r w:rsidR="005D4129">
        <w:rPr>
          <w:sz w:val="40"/>
          <w:szCs w:val="40"/>
        </w:rPr>
        <w:t xml:space="preserve">Unit of Measure </w:t>
      </w:r>
      <w:r w:rsidR="007C7FAE">
        <w:rPr>
          <w:sz w:val="40"/>
          <w:szCs w:val="40"/>
        </w:rPr>
        <w:t xml:space="preserve">and Trade Sub-Type </w:t>
      </w:r>
      <w:r w:rsidR="0099120E">
        <w:rPr>
          <w:sz w:val="40"/>
          <w:szCs w:val="40"/>
        </w:rPr>
        <w:t>Enhancement</w:t>
      </w:r>
      <w:r w:rsidR="007C7FAE">
        <w:rPr>
          <w:sz w:val="40"/>
          <w:szCs w:val="40"/>
        </w:rPr>
        <w:t>s</w:t>
      </w:r>
      <w:bookmarkEnd w:id="1"/>
    </w:p>
    <w:p w14:paraId="6CA13A1B" w14:textId="77777777" w:rsidR="00D873DF" w:rsidRDefault="00D873DF" w:rsidP="0097609E"/>
    <w:p w14:paraId="003F1061" w14:textId="77777777" w:rsidR="00D873DF" w:rsidRDefault="00D873DF" w:rsidP="0097609E"/>
    <w:p w14:paraId="0E640261" w14:textId="77777777" w:rsidR="00D873DF" w:rsidRDefault="00D873DF" w:rsidP="0097609E"/>
    <w:p w14:paraId="2DBBEC01" w14:textId="77777777" w:rsidR="00D873DF" w:rsidRDefault="00D873DF" w:rsidP="0097609E"/>
    <w:p w14:paraId="1D599D04" w14:textId="77F097C5" w:rsidR="00D873DF" w:rsidRDefault="00D873DF" w:rsidP="0097609E"/>
    <w:p w14:paraId="63FB6124" w14:textId="3C8C9876" w:rsidR="002F670F" w:rsidRDefault="002F670F" w:rsidP="0097609E"/>
    <w:p w14:paraId="78C1C75F" w14:textId="3D0A85EB" w:rsidR="002F670F" w:rsidRDefault="002F670F" w:rsidP="0097609E"/>
    <w:p w14:paraId="57C04C54" w14:textId="77777777" w:rsidR="002F670F" w:rsidRDefault="002F670F" w:rsidP="0097609E"/>
    <w:p w14:paraId="11E9666B" w14:textId="23EE1821" w:rsidR="00D873DF" w:rsidRPr="005D4129" w:rsidRDefault="00BF2817" w:rsidP="005D4129">
      <w:pPr>
        <w:spacing w:after="240"/>
        <w:jc w:val="center"/>
        <w:rPr>
          <w:sz w:val="24"/>
        </w:rPr>
      </w:pPr>
      <w:bookmarkStart w:id="2" w:name="RevDate"/>
      <w:r>
        <w:rPr>
          <w:rFonts w:ascii="Arial" w:hAnsi="Arial" w:cs="Arial"/>
          <w:b/>
          <w:sz w:val="24"/>
        </w:rPr>
        <w:t xml:space="preserve">May </w:t>
      </w:r>
      <w:r w:rsidR="00101EB7">
        <w:rPr>
          <w:rFonts w:ascii="Arial" w:hAnsi="Arial" w:cs="Arial"/>
          <w:b/>
          <w:sz w:val="24"/>
        </w:rPr>
        <w:t>2</w:t>
      </w:r>
      <w:r w:rsidR="00486D27" w:rsidRPr="005D4129">
        <w:rPr>
          <w:rFonts w:ascii="Arial" w:hAnsi="Arial" w:cs="Arial"/>
          <w:b/>
          <w:sz w:val="24"/>
        </w:rPr>
        <w:t>, 201</w:t>
      </w:r>
      <w:r w:rsidR="00341D8F" w:rsidRPr="005D4129">
        <w:rPr>
          <w:rFonts w:ascii="Arial" w:hAnsi="Arial" w:cs="Arial"/>
          <w:b/>
          <w:sz w:val="24"/>
        </w:rPr>
        <w:t>8</w:t>
      </w:r>
      <w:bookmarkEnd w:id="2"/>
    </w:p>
    <w:p w14:paraId="420AC0AE" w14:textId="27E16839" w:rsidR="00D873DF" w:rsidRPr="005D4129" w:rsidRDefault="00D873DF" w:rsidP="005D4129">
      <w:pPr>
        <w:spacing w:after="240"/>
        <w:jc w:val="center"/>
        <w:rPr>
          <w:sz w:val="24"/>
        </w:rPr>
      </w:pPr>
      <w:bookmarkStart w:id="3" w:name="_Toc105491793"/>
      <w:bookmarkStart w:id="4" w:name="RevNum"/>
      <w:r w:rsidRPr="005D4129">
        <w:rPr>
          <w:rFonts w:ascii="Arial" w:hAnsi="Arial" w:cs="Arial"/>
          <w:b/>
          <w:sz w:val="24"/>
        </w:rPr>
        <w:t xml:space="preserve">Revision </w:t>
      </w:r>
      <w:bookmarkEnd w:id="3"/>
      <w:r w:rsidR="00486D27" w:rsidRPr="005D4129">
        <w:rPr>
          <w:rFonts w:ascii="Arial" w:hAnsi="Arial" w:cs="Arial"/>
          <w:b/>
          <w:sz w:val="24"/>
        </w:rPr>
        <w:t>0</w:t>
      </w:r>
      <w:r w:rsidR="005D4129">
        <w:rPr>
          <w:rFonts w:ascii="Arial" w:hAnsi="Arial" w:cs="Arial"/>
          <w:b/>
          <w:sz w:val="24"/>
        </w:rPr>
        <w:t>.</w:t>
      </w:r>
      <w:r w:rsidR="004B0175">
        <w:rPr>
          <w:rFonts w:ascii="Arial" w:hAnsi="Arial" w:cs="Arial"/>
          <w:b/>
          <w:sz w:val="24"/>
        </w:rPr>
        <w:t>5</w:t>
      </w:r>
      <w:bookmarkEnd w:id="4"/>
    </w:p>
    <w:p w14:paraId="318EBAB0" w14:textId="0D6816BF" w:rsidR="003318F4" w:rsidRPr="005D4129" w:rsidRDefault="003318F4" w:rsidP="005D4129">
      <w:pPr>
        <w:spacing w:after="240"/>
        <w:jc w:val="center"/>
        <w:rPr>
          <w:sz w:val="24"/>
        </w:rPr>
      </w:pPr>
      <w:r w:rsidRPr="005D4129">
        <w:rPr>
          <w:rFonts w:ascii="Arial" w:hAnsi="Arial" w:cs="Arial"/>
          <w:b/>
          <w:sz w:val="24"/>
        </w:rPr>
        <w:t xml:space="preserve">Proposal Status:  </w:t>
      </w:r>
      <w:r w:rsidR="004B0175">
        <w:rPr>
          <w:rFonts w:ascii="Arial" w:hAnsi="Arial" w:cs="Arial"/>
          <w:b/>
          <w:sz w:val="24"/>
        </w:rPr>
        <w:t>Public Comment</w:t>
      </w:r>
    </w:p>
    <w:p w14:paraId="4B9CC5DB" w14:textId="77777777" w:rsidR="00D873DF" w:rsidRDefault="00D873DF" w:rsidP="00D873DF"/>
    <w:p w14:paraId="585F4D2E" w14:textId="77777777" w:rsidR="00D873DF" w:rsidRDefault="00D873DF">
      <w:pPr>
        <w:sectPr w:rsidR="00D873DF" w:rsidSect="00142D98">
          <w:headerReference w:type="default" r:id="rId9"/>
          <w:footerReference w:type="default" r:id="rId10"/>
          <w:pgSz w:w="12240" w:h="15840" w:code="1"/>
          <w:pgMar w:top="1440" w:right="1440" w:bottom="1440" w:left="1440" w:header="720" w:footer="720" w:gutter="0"/>
          <w:cols w:space="720"/>
          <w:docGrid w:linePitch="360"/>
        </w:sectPr>
      </w:pPr>
    </w:p>
    <w:p w14:paraId="5B20C9C2" w14:textId="77777777" w:rsidR="00640B1F" w:rsidRDefault="00640B1F" w:rsidP="00640B1F">
      <w:pPr>
        <w:pStyle w:val="Title"/>
        <w:rPr>
          <w:u w:val="single"/>
        </w:rPr>
      </w:pPr>
      <w:bookmarkStart w:id="5" w:name="_Toc105491794"/>
      <w:r>
        <w:rPr>
          <w:u w:val="single"/>
        </w:rPr>
        <w:lastRenderedPageBreak/>
        <w:t>DISCLAIMER</w:t>
      </w:r>
      <w:bookmarkEnd w:id="5"/>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05369992" w:rsidR="00F85F52" w:rsidRDefault="00F85F52" w:rsidP="00F85F52">
      <w:pPr>
        <w:numPr>
          <w:ilvl w:val="12"/>
          <w:numId w:val="0"/>
        </w:numPr>
      </w:pPr>
      <w:r>
        <w:t>Copyright 200</w:t>
      </w:r>
      <w:r w:rsidR="00BB39AF">
        <w:t>3-201</w:t>
      </w:r>
      <w:r w:rsidR="002B50B9">
        <w:t>8</w:t>
      </w:r>
      <w:r>
        <w:t xml:space="preserve"> FIX Protocol Limited, all rights reserved</w:t>
      </w:r>
      <w:r w:rsidR="00BD39FB">
        <w:t>.</w:t>
      </w:r>
    </w:p>
    <w:p w14:paraId="62681500" w14:textId="77777777" w:rsidR="00F85F52" w:rsidRPr="00E90785" w:rsidRDefault="00F85F52" w:rsidP="00E90785">
      <w:pPr>
        <w:pStyle w:val="BodyText"/>
      </w:pPr>
    </w:p>
    <w:p w14:paraId="4DFA89AD" w14:textId="77777777" w:rsidR="00640B1F" w:rsidRDefault="00640B1F" w:rsidP="00640B1F">
      <w:pPr>
        <w:pStyle w:val="Title"/>
      </w:pPr>
      <w:r>
        <w:br w:type="page"/>
      </w:r>
      <w:bookmarkStart w:id="6" w:name="_Toc105491795"/>
      <w:r>
        <w:lastRenderedPageBreak/>
        <w:t>Table of Contents</w:t>
      </w:r>
      <w:bookmarkEnd w:id="6"/>
    </w:p>
    <w:p w14:paraId="23811955" w14:textId="77777777" w:rsidR="00696841" w:rsidRPr="00696841" w:rsidRDefault="00696841"/>
    <w:p w14:paraId="4AA9FAF0" w14:textId="779939ED" w:rsidR="00183E4D" w:rsidRDefault="000B410A">
      <w:pPr>
        <w:pStyle w:val="TOC1"/>
        <w:tabs>
          <w:tab w:val="right" w:leader="dot" w:pos="9350"/>
        </w:tabs>
        <w:rPr>
          <w:rFonts w:eastAsiaTheme="minorEastAsia" w:cstheme="minorBidi"/>
          <w:noProof/>
          <w:szCs w:val="22"/>
        </w:rPr>
      </w:pPr>
      <w:r>
        <w:fldChar w:fldCharType="begin"/>
      </w:r>
      <w:r>
        <w:instrText xml:space="preserve"> TOC \o "2-3" \h \z \t "Heading 1,1" </w:instrText>
      </w:r>
      <w:r>
        <w:fldChar w:fldCharType="separate"/>
      </w:r>
      <w:hyperlink w:anchor="_Toc512523845" w:history="1">
        <w:r w:rsidR="00183E4D" w:rsidRPr="003A544C">
          <w:rPr>
            <w:rStyle w:val="Hyperlink"/>
            <w:noProof/>
          </w:rPr>
          <w:t>No table of figures entries found.Document History</w:t>
        </w:r>
        <w:r w:rsidR="00183E4D">
          <w:rPr>
            <w:noProof/>
            <w:webHidden/>
          </w:rPr>
          <w:tab/>
        </w:r>
        <w:r w:rsidR="00183E4D">
          <w:rPr>
            <w:noProof/>
            <w:webHidden/>
          </w:rPr>
          <w:fldChar w:fldCharType="begin"/>
        </w:r>
        <w:r w:rsidR="00183E4D">
          <w:rPr>
            <w:noProof/>
            <w:webHidden/>
          </w:rPr>
          <w:instrText xml:space="preserve"> PAGEREF _Toc512523845 \h </w:instrText>
        </w:r>
        <w:r w:rsidR="00183E4D">
          <w:rPr>
            <w:noProof/>
            <w:webHidden/>
          </w:rPr>
        </w:r>
        <w:r w:rsidR="00183E4D">
          <w:rPr>
            <w:noProof/>
            <w:webHidden/>
          </w:rPr>
          <w:fldChar w:fldCharType="separate"/>
        </w:r>
        <w:r w:rsidR="00183E4D">
          <w:rPr>
            <w:noProof/>
            <w:webHidden/>
          </w:rPr>
          <w:t>4</w:t>
        </w:r>
        <w:r w:rsidR="00183E4D">
          <w:rPr>
            <w:noProof/>
            <w:webHidden/>
          </w:rPr>
          <w:fldChar w:fldCharType="end"/>
        </w:r>
      </w:hyperlink>
    </w:p>
    <w:p w14:paraId="760C9F17" w14:textId="7BD0FF10" w:rsidR="00183E4D" w:rsidRDefault="001D07F9">
      <w:pPr>
        <w:pStyle w:val="TOC1"/>
        <w:tabs>
          <w:tab w:val="left" w:pos="450"/>
          <w:tab w:val="right" w:leader="dot" w:pos="9350"/>
        </w:tabs>
        <w:rPr>
          <w:rFonts w:eastAsiaTheme="minorEastAsia" w:cstheme="minorBidi"/>
          <w:noProof/>
          <w:szCs w:val="22"/>
        </w:rPr>
      </w:pPr>
      <w:hyperlink w:anchor="_Toc512523846" w:history="1">
        <w:r w:rsidR="00183E4D" w:rsidRPr="003A544C">
          <w:rPr>
            <w:rStyle w:val="Hyperlink"/>
            <w:noProof/>
          </w:rPr>
          <w:t>1</w:t>
        </w:r>
        <w:r w:rsidR="00183E4D">
          <w:rPr>
            <w:rFonts w:eastAsiaTheme="minorEastAsia" w:cstheme="minorBidi"/>
            <w:noProof/>
            <w:szCs w:val="22"/>
          </w:rPr>
          <w:tab/>
        </w:r>
        <w:r w:rsidR="00183E4D" w:rsidRPr="003A544C">
          <w:rPr>
            <w:rStyle w:val="Hyperlink"/>
            <w:noProof/>
          </w:rPr>
          <w:t>Introduction</w:t>
        </w:r>
        <w:r w:rsidR="00183E4D">
          <w:rPr>
            <w:noProof/>
            <w:webHidden/>
          </w:rPr>
          <w:tab/>
        </w:r>
        <w:r w:rsidR="00183E4D">
          <w:rPr>
            <w:noProof/>
            <w:webHidden/>
          </w:rPr>
          <w:fldChar w:fldCharType="begin"/>
        </w:r>
        <w:r w:rsidR="00183E4D">
          <w:rPr>
            <w:noProof/>
            <w:webHidden/>
          </w:rPr>
          <w:instrText xml:space="preserve"> PAGEREF _Toc512523846 \h </w:instrText>
        </w:r>
        <w:r w:rsidR="00183E4D">
          <w:rPr>
            <w:noProof/>
            <w:webHidden/>
          </w:rPr>
        </w:r>
        <w:r w:rsidR="00183E4D">
          <w:rPr>
            <w:noProof/>
            <w:webHidden/>
          </w:rPr>
          <w:fldChar w:fldCharType="separate"/>
        </w:r>
        <w:r w:rsidR="00183E4D">
          <w:rPr>
            <w:noProof/>
            <w:webHidden/>
          </w:rPr>
          <w:t>6</w:t>
        </w:r>
        <w:r w:rsidR="00183E4D">
          <w:rPr>
            <w:noProof/>
            <w:webHidden/>
          </w:rPr>
          <w:fldChar w:fldCharType="end"/>
        </w:r>
      </w:hyperlink>
    </w:p>
    <w:p w14:paraId="5D402C0A" w14:textId="34A8F4E1" w:rsidR="00183E4D" w:rsidRDefault="001D07F9">
      <w:pPr>
        <w:pStyle w:val="TOC2"/>
        <w:rPr>
          <w:rFonts w:eastAsiaTheme="minorEastAsia" w:cstheme="minorBidi"/>
          <w:szCs w:val="22"/>
        </w:rPr>
      </w:pPr>
      <w:hyperlink w:anchor="_Toc512523847" w:history="1">
        <w:r w:rsidR="00183E4D" w:rsidRPr="003A544C">
          <w:rPr>
            <w:rStyle w:val="Hyperlink"/>
          </w:rPr>
          <w:t>1.1</w:t>
        </w:r>
        <w:r w:rsidR="00183E4D">
          <w:rPr>
            <w:rFonts w:eastAsiaTheme="minorEastAsia" w:cstheme="minorBidi"/>
            <w:szCs w:val="22"/>
          </w:rPr>
          <w:tab/>
        </w:r>
        <w:r w:rsidR="00183E4D" w:rsidRPr="003A544C">
          <w:rPr>
            <w:rStyle w:val="Hyperlink"/>
          </w:rPr>
          <w:t>Summary of Proposed Changes</w:t>
        </w:r>
        <w:r w:rsidR="00183E4D">
          <w:rPr>
            <w:webHidden/>
          </w:rPr>
          <w:tab/>
        </w:r>
        <w:r w:rsidR="00183E4D">
          <w:rPr>
            <w:webHidden/>
          </w:rPr>
          <w:fldChar w:fldCharType="begin"/>
        </w:r>
        <w:r w:rsidR="00183E4D">
          <w:rPr>
            <w:webHidden/>
          </w:rPr>
          <w:instrText xml:space="preserve"> PAGEREF _Toc512523847 \h </w:instrText>
        </w:r>
        <w:r w:rsidR="00183E4D">
          <w:rPr>
            <w:webHidden/>
          </w:rPr>
        </w:r>
        <w:r w:rsidR="00183E4D">
          <w:rPr>
            <w:webHidden/>
          </w:rPr>
          <w:fldChar w:fldCharType="separate"/>
        </w:r>
        <w:r w:rsidR="00183E4D">
          <w:rPr>
            <w:webHidden/>
          </w:rPr>
          <w:t>6</w:t>
        </w:r>
        <w:r w:rsidR="00183E4D">
          <w:rPr>
            <w:webHidden/>
          </w:rPr>
          <w:fldChar w:fldCharType="end"/>
        </w:r>
      </w:hyperlink>
    </w:p>
    <w:p w14:paraId="01E6710D" w14:textId="21136543" w:rsidR="00183E4D" w:rsidRDefault="001D07F9">
      <w:pPr>
        <w:pStyle w:val="TOC1"/>
        <w:tabs>
          <w:tab w:val="left" w:pos="450"/>
          <w:tab w:val="right" w:leader="dot" w:pos="9350"/>
        </w:tabs>
        <w:rPr>
          <w:rFonts w:eastAsiaTheme="minorEastAsia" w:cstheme="minorBidi"/>
          <w:noProof/>
          <w:szCs w:val="22"/>
        </w:rPr>
      </w:pPr>
      <w:hyperlink w:anchor="_Toc512523848" w:history="1">
        <w:r w:rsidR="00183E4D" w:rsidRPr="003A544C">
          <w:rPr>
            <w:rStyle w:val="Hyperlink"/>
            <w:noProof/>
          </w:rPr>
          <w:t>2</w:t>
        </w:r>
        <w:r w:rsidR="00183E4D">
          <w:rPr>
            <w:rFonts w:eastAsiaTheme="minorEastAsia" w:cstheme="minorBidi"/>
            <w:noProof/>
            <w:szCs w:val="22"/>
          </w:rPr>
          <w:tab/>
        </w:r>
        <w:r w:rsidR="00183E4D" w:rsidRPr="003A544C">
          <w:rPr>
            <w:rStyle w:val="Hyperlink"/>
            <w:noProof/>
          </w:rPr>
          <w:t>Business Requirements</w:t>
        </w:r>
        <w:r w:rsidR="00183E4D">
          <w:rPr>
            <w:noProof/>
            <w:webHidden/>
          </w:rPr>
          <w:tab/>
        </w:r>
        <w:r w:rsidR="00183E4D">
          <w:rPr>
            <w:noProof/>
            <w:webHidden/>
          </w:rPr>
          <w:fldChar w:fldCharType="begin"/>
        </w:r>
        <w:r w:rsidR="00183E4D">
          <w:rPr>
            <w:noProof/>
            <w:webHidden/>
          </w:rPr>
          <w:instrText xml:space="preserve"> PAGEREF _Toc512523848 \h </w:instrText>
        </w:r>
        <w:r w:rsidR="00183E4D">
          <w:rPr>
            <w:noProof/>
            <w:webHidden/>
          </w:rPr>
        </w:r>
        <w:r w:rsidR="00183E4D">
          <w:rPr>
            <w:noProof/>
            <w:webHidden/>
          </w:rPr>
          <w:fldChar w:fldCharType="separate"/>
        </w:r>
        <w:r w:rsidR="00183E4D">
          <w:rPr>
            <w:noProof/>
            <w:webHidden/>
          </w:rPr>
          <w:t>6</w:t>
        </w:r>
        <w:r w:rsidR="00183E4D">
          <w:rPr>
            <w:noProof/>
            <w:webHidden/>
          </w:rPr>
          <w:fldChar w:fldCharType="end"/>
        </w:r>
      </w:hyperlink>
    </w:p>
    <w:p w14:paraId="008BA50B" w14:textId="62580714" w:rsidR="00183E4D" w:rsidRDefault="001D07F9">
      <w:pPr>
        <w:pStyle w:val="TOC2"/>
        <w:rPr>
          <w:rFonts w:eastAsiaTheme="minorEastAsia" w:cstheme="minorBidi"/>
          <w:szCs w:val="22"/>
        </w:rPr>
      </w:pPr>
      <w:hyperlink w:anchor="_Toc512523849" w:history="1">
        <w:r w:rsidR="00183E4D" w:rsidRPr="003A544C">
          <w:rPr>
            <w:rStyle w:val="Hyperlink"/>
          </w:rPr>
          <w:t>2.1</w:t>
        </w:r>
        <w:r w:rsidR="00183E4D">
          <w:rPr>
            <w:rFonts w:eastAsiaTheme="minorEastAsia" w:cstheme="minorBidi"/>
            <w:szCs w:val="22"/>
          </w:rPr>
          <w:tab/>
        </w:r>
        <w:r w:rsidR="00183E4D" w:rsidRPr="003A544C">
          <w:rPr>
            <w:rStyle w:val="Hyperlink"/>
          </w:rPr>
          <w:t>Heat Rate as a Unit of Measure</w:t>
        </w:r>
        <w:r w:rsidR="00183E4D">
          <w:rPr>
            <w:webHidden/>
          </w:rPr>
          <w:tab/>
        </w:r>
        <w:r w:rsidR="00183E4D">
          <w:rPr>
            <w:webHidden/>
          </w:rPr>
          <w:fldChar w:fldCharType="begin"/>
        </w:r>
        <w:r w:rsidR="00183E4D">
          <w:rPr>
            <w:webHidden/>
          </w:rPr>
          <w:instrText xml:space="preserve"> PAGEREF _Toc512523849 \h </w:instrText>
        </w:r>
        <w:r w:rsidR="00183E4D">
          <w:rPr>
            <w:webHidden/>
          </w:rPr>
        </w:r>
        <w:r w:rsidR="00183E4D">
          <w:rPr>
            <w:webHidden/>
          </w:rPr>
          <w:fldChar w:fldCharType="separate"/>
        </w:r>
        <w:r w:rsidR="00183E4D">
          <w:rPr>
            <w:webHidden/>
          </w:rPr>
          <w:t>6</w:t>
        </w:r>
        <w:r w:rsidR="00183E4D">
          <w:rPr>
            <w:webHidden/>
          </w:rPr>
          <w:fldChar w:fldCharType="end"/>
        </w:r>
      </w:hyperlink>
    </w:p>
    <w:p w14:paraId="084735A6" w14:textId="6C56BD5B" w:rsidR="00183E4D" w:rsidRDefault="001D07F9">
      <w:pPr>
        <w:pStyle w:val="TOC2"/>
        <w:rPr>
          <w:rFonts w:eastAsiaTheme="minorEastAsia" w:cstheme="minorBidi"/>
          <w:szCs w:val="22"/>
        </w:rPr>
      </w:pPr>
      <w:hyperlink w:anchor="_Toc512523850" w:history="1">
        <w:r w:rsidR="00183E4D" w:rsidRPr="003A544C">
          <w:rPr>
            <w:rStyle w:val="Hyperlink"/>
          </w:rPr>
          <w:t>2.2</w:t>
        </w:r>
        <w:r w:rsidR="00183E4D">
          <w:rPr>
            <w:rFonts w:eastAsiaTheme="minorEastAsia" w:cstheme="minorBidi"/>
            <w:szCs w:val="22"/>
          </w:rPr>
          <w:tab/>
        </w:r>
        <w:r w:rsidR="00183E4D" w:rsidRPr="003A544C">
          <w:rPr>
            <w:rStyle w:val="Hyperlink"/>
          </w:rPr>
          <w:t>Trade At Cash Open (TACO) Trades</w:t>
        </w:r>
        <w:r w:rsidR="00183E4D">
          <w:rPr>
            <w:webHidden/>
          </w:rPr>
          <w:tab/>
        </w:r>
        <w:r w:rsidR="00183E4D">
          <w:rPr>
            <w:webHidden/>
          </w:rPr>
          <w:fldChar w:fldCharType="begin"/>
        </w:r>
        <w:r w:rsidR="00183E4D">
          <w:rPr>
            <w:webHidden/>
          </w:rPr>
          <w:instrText xml:space="preserve"> PAGEREF _Toc512523850 \h </w:instrText>
        </w:r>
        <w:r w:rsidR="00183E4D">
          <w:rPr>
            <w:webHidden/>
          </w:rPr>
        </w:r>
        <w:r w:rsidR="00183E4D">
          <w:rPr>
            <w:webHidden/>
          </w:rPr>
          <w:fldChar w:fldCharType="separate"/>
        </w:r>
        <w:r w:rsidR="00183E4D">
          <w:rPr>
            <w:webHidden/>
          </w:rPr>
          <w:t>7</w:t>
        </w:r>
        <w:r w:rsidR="00183E4D">
          <w:rPr>
            <w:webHidden/>
          </w:rPr>
          <w:fldChar w:fldCharType="end"/>
        </w:r>
      </w:hyperlink>
    </w:p>
    <w:p w14:paraId="2EE1D094" w14:textId="03780B15" w:rsidR="00183E4D" w:rsidRDefault="001D07F9">
      <w:pPr>
        <w:pStyle w:val="TOC1"/>
        <w:tabs>
          <w:tab w:val="left" w:pos="450"/>
          <w:tab w:val="right" w:leader="dot" w:pos="9350"/>
        </w:tabs>
        <w:rPr>
          <w:rFonts w:eastAsiaTheme="minorEastAsia" w:cstheme="minorBidi"/>
          <w:noProof/>
          <w:szCs w:val="22"/>
        </w:rPr>
      </w:pPr>
      <w:hyperlink w:anchor="_Toc512523851" w:history="1">
        <w:r w:rsidR="00183E4D" w:rsidRPr="003A544C">
          <w:rPr>
            <w:rStyle w:val="Hyperlink"/>
            <w:noProof/>
          </w:rPr>
          <w:t>3</w:t>
        </w:r>
        <w:r w:rsidR="00183E4D">
          <w:rPr>
            <w:rFonts w:eastAsiaTheme="minorEastAsia" w:cstheme="minorBidi"/>
            <w:noProof/>
            <w:szCs w:val="22"/>
          </w:rPr>
          <w:tab/>
        </w:r>
        <w:r w:rsidR="00183E4D" w:rsidRPr="003A544C">
          <w:rPr>
            <w:rStyle w:val="Hyperlink"/>
            <w:noProof/>
          </w:rPr>
          <w:t>Issues and Discussion Points</w:t>
        </w:r>
        <w:r w:rsidR="00183E4D">
          <w:rPr>
            <w:noProof/>
            <w:webHidden/>
          </w:rPr>
          <w:tab/>
        </w:r>
        <w:r w:rsidR="00183E4D">
          <w:rPr>
            <w:noProof/>
            <w:webHidden/>
          </w:rPr>
          <w:fldChar w:fldCharType="begin"/>
        </w:r>
        <w:r w:rsidR="00183E4D">
          <w:rPr>
            <w:noProof/>
            <w:webHidden/>
          </w:rPr>
          <w:instrText xml:space="preserve"> PAGEREF _Toc512523851 \h </w:instrText>
        </w:r>
        <w:r w:rsidR="00183E4D">
          <w:rPr>
            <w:noProof/>
            <w:webHidden/>
          </w:rPr>
        </w:r>
        <w:r w:rsidR="00183E4D">
          <w:rPr>
            <w:noProof/>
            <w:webHidden/>
          </w:rPr>
          <w:fldChar w:fldCharType="separate"/>
        </w:r>
        <w:r w:rsidR="00183E4D">
          <w:rPr>
            <w:noProof/>
            <w:webHidden/>
          </w:rPr>
          <w:t>8</w:t>
        </w:r>
        <w:r w:rsidR="00183E4D">
          <w:rPr>
            <w:noProof/>
            <w:webHidden/>
          </w:rPr>
          <w:fldChar w:fldCharType="end"/>
        </w:r>
      </w:hyperlink>
    </w:p>
    <w:p w14:paraId="280B9C15" w14:textId="47E733CB" w:rsidR="00183E4D" w:rsidRDefault="001D07F9">
      <w:pPr>
        <w:pStyle w:val="TOC1"/>
        <w:tabs>
          <w:tab w:val="left" w:pos="450"/>
          <w:tab w:val="right" w:leader="dot" w:pos="9350"/>
        </w:tabs>
        <w:rPr>
          <w:rFonts w:eastAsiaTheme="minorEastAsia" w:cstheme="minorBidi"/>
          <w:noProof/>
          <w:szCs w:val="22"/>
        </w:rPr>
      </w:pPr>
      <w:hyperlink w:anchor="_Toc512523852" w:history="1">
        <w:r w:rsidR="00183E4D" w:rsidRPr="003A544C">
          <w:rPr>
            <w:rStyle w:val="Hyperlink"/>
            <w:noProof/>
          </w:rPr>
          <w:t>4</w:t>
        </w:r>
        <w:r w:rsidR="00183E4D">
          <w:rPr>
            <w:rFonts w:eastAsiaTheme="minorEastAsia" w:cstheme="minorBidi"/>
            <w:noProof/>
            <w:szCs w:val="22"/>
          </w:rPr>
          <w:tab/>
        </w:r>
        <w:r w:rsidR="00183E4D" w:rsidRPr="003A544C">
          <w:rPr>
            <w:rStyle w:val="Hyperlink"/>
            <w:noProof/>
          </w:rPr>
          <w:t>Proposed Message Flow</w:t>
        </w:r>
        <w:r w:rsidR="00183E4D">
          <w:rPr>
            <w:noProof/>
            <w:webHidden/>
          </w:rPr>
          <w:tab/>
        </w:r>
        <w:r w:rsidR="00183E4D">
          <w:rPr>
            <w:noProof/>
            <w:webHidden/>
          </w:rPr>
          <w:fldChar w:fldCharType="begin"/>
        </w:r>
        <w:r w:rsidR="00183E4D">
          <w:rPr>
            <w:noProof/>
            <w:webHidden/>
          </w:rPr>
          <w:instrText xml:space="preserve"> PAGEREF _Toc512523852 \h </w:instrText>
        </w:r>
        <w:r w:rsidR="00183E4D">
          <w:rPr>
            <w:noProof/>
            <w:webHidden/>
          </w:rPr>
        </w:r>
        <w:r w:rsidR="00183E4D">
          <w:rPr>
            <w:noProof/>
            <w:webHidden/>
          </w:rPr>
          <w:fldChar w:fldCharType="separate"/>
        </w:r>
        <w:r w:rsidR="00183E4D">
          <w:rPr>
            <w:noProof/>
            <w:webHidden/>
          </w:rPr>
          <w:t>9</w:t>
        </w:r>
        <w:r w:rsidR="00183E4D">
          <w:rPr>
            <w:noProof/>
            <w:webHidden/>
          </w:rPr>
          <w:fldChar w:fldCharType="end"/>
        </w:r>
      </w:hyperlink>
    </w:p>
    <w:p w14:paraId="606FA745" w14:textId="7CDC661E" w:rsidR="00183E4D" w:rsidRDefault="001D07F9">
      <w:pPr>
        <w:pStyle w:val="TOC1"/>
        <w:tabs>
          <w:tab w:val="left" w:pos="450"/>
          <w:tab w:val="right" w:leader="dot" w:pos="9350"/>
        </w:tabs>
        <w:rPr>
          <w:rFonts w:eastAsiaTheme="minorEastAsia" w:cstheme="minorBidi"/>
          <w:noProof/>
          <w:szCs w:val="22"/>
        </w:rPr>
      </w:pPr>
      <w:hyperlink w:anchor="_Toc512523853" w:history="1">
        <w:r w:rsidR="00183E4D" w:rsidRPr="003A544C">
          <w:rPr>
            <w:rStyle w:val="Hyperlink"/>
            <w:noProof/>
          </w:rPr>
          <w:t>5</w:t>
        </w:r>
        <w:r w:rsidR="00183E4D">
          <w:rPr>
            <w:rFonts w:eastAsiaTheme="minorEastAsia" w:cstheme="minorBidi"/>
            <w:noProof/>
            <w:szCs w:val="22"/>
          </w:rPr>
          <w:tab/>
        </w:r>
        <w:r w:rsidR="00183E4D" w:rsidRPr="003A544C">
          <w:rPr>
            <w:rStyle w:val="Hyperlink"/>
            <w:noProof/>
          </w:rPr>
          <w:t>FIX Message Tables</w:t>
        </w:r>
        <w:r w:rsidR="00183E4D">
          <w:rPr>
            <w:noProof/>
            <w:webHidden/>
          </w:rPr>
          <w:tab/>
        </w:r>
        <w:r w:rsidR="00183E4D">
          <w:rPr>
            <w:noProof/>
            <w:webHidden/>
          </w:rPr>
          <w:fldChar w:fldCharType="begin"/>
        </w:r>
        <w:r w:rsidR="00183E4D">
          <w:rPr>
            <w:noProof/>
            <w:webHidden/>
          </w:rPr>
          <w:instrText xml:space="preserve"> PAGEREF _Toc512523853 \h </w:instrText>
        </w:r>
        <w:r w:rsidR="00183E4D">
          <w:rPr>
            <w:noProof/>
            <w:webHidden/>
          </w:rPr>
        </w:r>
        <w:r w:rsidR="00183E4D">
          <w:rPr>
            <w:noProof/>
            <w:webHidden/>
          </w:rPr>
          <w:fldChar w:fldCharType="separate"/>
        </w:r>
        <w:r w:rsidR="00183E4D">
          <w:rPr>
            <w:noProof/>
            <w:webHidden/>
          </w:rPr>
          <w:t>9</w:t>
        </w:r>
        <w:r w:rsidR="00183E4D">
          <w:rPr>
            <w:noProof/>
            <w:webHidden/>
          </w:rPr>
          <w:fldChar w:fldCharType="end"/>
        </w:r>
      </w:hyperlink>
    </w:p>
    <w:p w14:paraId="3670F382" w14:textId="3A226A2F" w:rsidR="00183E4D" w:rsidRDefault="001D07F9">
      <w:pPr>
        <w:pStyle w:val="TOC1"/>
        <w:tabs>
          <w:tab w:val="left" w:pos="450"/>
          <w:tab w:val="right" w:leader="dot" w:pos="9350"/>
        </w:tabs>
        <w:rPr>
          <w:rFonts w:eastAsiaTheme="minorEastAsia" w:cstheme="minorBidi"/>
          <w:noProof/>
          <w:szCs w:val="22"/>
        </w:rPr>
      </w:pPr>
      <w:hyperlink w:anchor="_Toc512523854" w:history="1">
        <w:r w:rsidR="00183E4D" w:rsidRPr="003A544C">
          <w:rPr>
            <w:rStyle w:val="Hyperlink"/>
            <w:noProof/>
          </w:rPr>
          <w:t>6</w:t>
        </w:r>
        <w:r w:rsidR="00183E4D">
          <w:rPr>
            <w:rFonts w:eastAsiaTheme="minorEastAsia" w:cstheme="minorBidi"/>
            <w:noProof/>
            <w:szCs w:val="22"/>
          </w:rPr>
          <w:tab/>
        </w:r>
        <w:r w:rsidR="00183E4D" w:rsidRPr="003A544C">
          <w:rPr>
            <w:rStyle w:val="Hyperlink"/>
            <w:noProof/>
          </w:rPr>
          <w:t>FIX Component Blocks</w:t>
        </w:r>
        <w:r w:rsidR="00183E4D">
          <w:rPr>
            <w:noProof/>
            <w:webHidden/>
          </w:rPr>
          <w:tab/>
        </w:r>
        <w:r w:rsidR="00183E4D">
          <w:rPr>
            <w:noProof/>
            <w:webHidden/>
          </w:rPr>
          <w:fldChar w:fldCharType="begin"/>
        </w:r>
        <w:r w:rsidR="00183E4D">
          <w:rPr>
            <w:noProof/>
            <w:webHidden/>
          </w:rPr>
          <w:instrText xml:space="preserve"> PAGEREF _Toc512523854 \h </w:instrText>
        </w:r>
        <w:r w:rsidR="00183E4D">
          <w:rPr>
            <w:noProof/>
            <w:webHidden/>
          </w:rPr>
        </w:r>
        <w:r w:rsidR="00183E4D">
          <w:rPr>
            <w:noProof/>
            <w:webHidden/>
          </w:rPr>
          <w:fldChar w:fldCharType="separate"/>
        </w:r>
        <w:r w:rsidR="00183E4D">
          <w:rPr>
            <w:noProof/>
            <w:webHidden/>
          </w:rPr>
          <w:t>9</w:t>
        </w:r>
        <w:r w:rsidR="00183E4D">
          <w:rPr>
            <w:noProof/>
            <w:webHidden/>
          </w:rPr>
          <w:fldChar w:fldCharType="end"/>
        </w:r>
      </w:hyperlink>
    </w:p>
    <w:p w14:paraId="263A9C38" w14:textId="664FB650" w:rsidR="00183E4D" w:rsidRDefault="001D07F9">
      <w:pPr>
        <w:pStyle w:val="TOC1"/>
        <w:tabs>
          <w:tab w:val="left" w:pos="450"/>
          <w:tab w:val="right" w:leader="dot" w:pos="9350"/>
        </w:tabs>
        <w:rPr>
          <w:rFonts w:eastAsiaTheme="minorEastAsia" w:cstheme="minorBidi"/>
          <w:noProof/>
          <w:szCs w:val="22"/>
        </w:rPr>
      </w:pPr>
      <w:hyperlink w:anchor="_Toc512523855" w:history="1">
        <w:r w:rsidR="00183E4D" w:rsidRPr="003A544C">
          <w:rPr>
            <w:rStyle w:val="Hyperlink"/>
            <w:noProof/>
          </w:rPr>
          <w:t>7</w:t>
        </w:r>
        <w:r w:rsidR="00183E4D">
          <w:rPr>
            <w:rFonts w:eastAsiaTheme="minorEastAsia" w:cstheme="minorBidi"/>
            <w:noProof/>
            <w:szCs w:val="22"/>
          </w:rPr>
          <w:tab/>
        </w:r>
        <w:r w:rsidR="00183E4D" w:rsidRPr="003A544C">
          <w:rPr>
            <w:rStyle w:val="Hyperlink"/>
            <w:noProof/>
          </w:rPr>
          <w:t>Category Changes</w:t>
        </w:r>
        <w:r w:rsidR="00183E4D">
          <w:rPr>
            <w:noProof/>
            <w:webHidden/>
          </w:rPr>
          <w:tab/>
        </w:r>
        <w:r w:rsidR="00183E4D">
          <w:rPr>
            <w:noProof/>
            <w:webHidden/>
          </w:rPr>
          <w:fldChar w:fldCharType="begin"/>
        </w:r>
        <w:r w:rsidR="00183E4D">
          <w:rPr>
            <w:noProof/>
            <w:webHidden/>
          </w:rPr>
          <w:instrText xml:space="preserve"> PAGEREF _Toc512523855 \h </w:instrText>
        </w:r>
        <w:r w:rsidR="00183E4D">
          <w:rPr>
            <w:noProof/>
            <w:webHidden/>
          </w:rPr>
        </w:r>
        <w:r w:rsidR="00183E4D">
          <w:rPr>
            <w:noProof/>
            <w:webHidden/>
          </w:rPr>
          <w:fldChar w:fldCharType="separate"/>
        </w:r>
        <w:r w:rsidR="00183E4D">
          <w:rPr>
            <w:noProof/>
            <w:webHidden/>
          </w:rPr>
          <w:t>9</w:t>
        </w:r>
        <w:r w:rsidR="00183E4D">
          <w:rPr>
            <w:noProof/>
            <w:webHidden/>
          </w:rPr>
          <w:fldChar w:fldCharType="end"/>
        </w:r>
      </w:hyperlink>
    </w:p>
    <w:p w14:paraId="3187C997" w14:textId="569CD75E" w:rsidR="00183E4D" w:rsidRDefault="001D07F9">
      <w:pPr>
        <w:pStyle w:val="TOC1"/>
        <w:tabs>
          <w:tab w:val="right" w:leader="dot" w:pos="9350"/>
        </w:tabs>
        <w:rPr>
          <w:rFonts w:eastAsiaTheme="minorEastAsia" w:cstheme="minorBidi"/>
          <w:noProof/>
          <w:szCs w:val="22"/>
        </w:rPr>
      </w:pPr>
      <w:hyperlink w:anchor="_Toc512523856" w:history="1">
        <w:r w:rsidR="00183E4D" w:rsidRPr="003A544C">
          <w:rPr>
            <w:rStyle w:val="Hyperlink"/>
            <w:noProof/>
          </w:rPr>
          <w:t>Appendix A - Data Dictionary</w:t>
        </w:r>
        <w:r w:rsidR="00183E4D">
          <w:rPr>
            <w:noProof/>
            <w:webHidden/>
          </w:rPr>
          <w:tab/>
        </w:r>
        <w:r w:rsidR="00183E4D">
          <w:rPr>
            <w:noProof/>
            <w:webHidden/>
          </w:rPr>
          <w:fldChar w:fldCharType="begin"/>
        </w:r>
        <w:r w:rsidR="00183E4D">
          <w:rPr>
            <w:noProof/>
            <w:webHidden/>
          </w:rPr>
          <w:instrText xml:space="preserve"> PAGEREF _Toc512523856 \h </w:instrText>
        </w:r>
        <w:r w:rsidR="00183E4D">
          <w:rPr>
            <w:noProof/>
            <w:webHidden/>
          </w:rPr>
        </w:r>
        <w:r w:rsidR="00183E4D">
          <w:rPr>
            <w:noProof/>
            <w:webHidden/>
          </w:rPr>
          <w:fldChar w:fldCharType="separate"/>
        </w:r>
        <w:r w:rsidR="00183E4D">
          <w:rPr>
            <w:noProof/>
            <w:webHidden/>
          </w:rPr>
          <w:t>10</w:t>
        </w:r>
        <w:r w:rsidR="00183E4D">
          <w:rPr>
            <w:noProof/>
            <w:webHidden/>
          </w:rPr>
          <w:fldChar w:fldCharType="end"/>
        </w:r>
      </w:hyperlink>
    </w:p>
    <w:p w14:paraId="414D7701" w14:textId="674E9957" w:rsidR="00183E4D" w:rsidRDefault="001D07F9">
      <w:pPr>
        <w:pStyle w:val="TOC1"/>
        <w:tabs>
          <w:tab w:val="right" w:leader="dot" w:pos="9350"/>
        </w:tabs>
        <w:rPr>
          <w:rFonts w:eastAsiaTheme="minorEastAsia" w:cstheme="minorBidi"/>
          <w:noProof/>
          <w:szCs w:val="22"/>
        </w:rPr>
      </w:pPr>
      <w:hyperlink w:anchor="_Toc512523857" w:history="1">
        <w:r w:rsidR="00183E4D" w:rsidRPr="003A544C">
          <w:rPr>
            <w:rStyle w:val="Hyperlink"/>
            <w:noProof/>
          </w:rPr>
          <w:t>Appendix B - Glossary Entries</w:t>
        </w:r>
        <w:r w:rsidR="00183E4D">
          <w:rPr>
            <w:noProof/>
            <w:webHidden/>
          </w:rPr>
          <w:tab/>
        </w:r>
        <w:r w:rsidR="00183E4D">
          <w:rPr>
            <w:noProof/>
            <w:webHidden/>
          </w:rPr>
          <w:fldChar w:fldCharType="begin"/>
        </w:r>
        <w:r w:rsidR="00183E4D">
          <w:rPr>
            <w:noProof/>
            <w:webHidden/>
          </w:rPr>
          <w:instrText xml:space="preserve"> PAGEREF _Toc512523857 \h </w:instrText>
        </w:r>
        <w:r w:rsidR="00183E4D">
          <w:rPr>
            <w:noProof/>
            <w:webHidden/>
          </w:rPr>
        </w:r>
        <w:r w:rsidR="00183E4D">
          <w:rPr>
            <w:noProof/>
            <w:webHidden/>
          </w:rPr>
          <w:fldChar w:fldCharType="separate"/>
        </w:r>
        <w:r w:rsidR="00183E4D">
          <w:rPr>
            <w:noProof/>
            <w:webHidden/>
          </w:rPr>
          <w:t>12</w:t>
        </w:r>
        <w:r w:rsidR="00183E4D">
          <w:rPr>
            <w:noProof/>
            <w:webHidden/>
          </w:rPr>
          <w:fldChar w:fldCharType="end"/>
        </w:r>
      </w:hyperlink>
    </w:p>
    <w:p w14:paraId="53DB3056" w14:textId="51BC9771" w:rsidR="00183E4D" w:rsidRDefault="001D07F9">
      <w:pPr>
        <w:pStyle w:val="TOC1"/>
        <w:tabs>
          <w:tab w:val="right" w:leader="dot" w:pos="9350"/>
        </w:tabs>
        <w:rPr>
          <w:rFonts w:eastAsiaTheme="minorEastAsia" w:cstheme="minorBidi"/>
          <w:noProof/>
          <w:szCs w:val="22"/>
        </w:rPr>
      </w:pPr>
      <w:hyperlink w:anchor="_Toc512523858" w:history="1">
        <w:r w:rsidR="00183E4D" w:rsidRPr="003A544C">
          <w:rPr>
            <w:rStyle w:val="Hyperlink"/>
            <w:noProof/>
          </w:rPr>
          <w:t>Appendix C - Abbreviations</w:t>
        </w:r>
        <w:r w:rsidR="00183E4D">
          <w:rPr>
            <w:noProof/>
            <w:webHidden/>
          </w:rPr>
          <w:tab/>
        </w:r>
        <w:r w:rsidR="00183E4D">
          <w:rPr>
            <w:noProof/>
            <w:webHidden/>
          </w:rPr>
          <w:fldChar w:fldCharType="begin"/>
        </w:r>
        <w:r w:rsidR="00183E4D">
          <w:rPr>
            <w:noProof/>
            <w:webHidden/>
          </w:rPr>
          <w:instrText xml:space="preserve"> PAGEREF _Toc512523858 \h </w:instrText>
        </w:r>
        <w:r w:rsidR="00183E4D">
          <w:rPr>
            <w:noProof/>
            <w:webHidden/>
          </w:rPr>
        </w:r>
        <w:r w:rsidR="00183E4D">
          <w:rPr>
            <w:noProof/>
            <w:webHidden/>
          </w:rPr>
          <w:fldChar w:fldCharType="separate"/>
        </w:r>
        <w:r w:rsidR="00183E4D">
          <w:rPr>
            <w:noProof/>
            <w:webHidden/>
          </w:rPr>
          <w:t>12</w:t>
        </w:r>
        <w:r w:rsidR="00183E4D">
          <w:rPr>
            <w:noProof/>
            <w:webHidden/>
          </w:rPr>
          <w:fldChar w:fldCharType="end"/>
        </w:r>
      </w:hyperlink>
    </w:p>
    <w:p w14:paraId="1ADA3E51" w14:textId="5661E812" w:rsidR="00183E4D" w:rsidRDefault="001D07F9">
      <w:pPr>
        <w:pStyle w:val="TOC1"/>
        <w:tabs>
          <w:tab w:val="right" w:leader="dot" w:pos="9350"/>
        </w:tabs>
        <w:rPr>
          <w:rFonts w:eastAsiaTheme="minorEastAsia" w:cstheme="minorBidi"/>
          <w:noProof/>
          <w:szCs w:val="22"/>
        </w:rPr>
      </w:pPr>
      <w:hyperlink w:anchor="_Toc512523859" w:history="1">
        <w:r w:rsidR="00183E4D" w:rsidRPr="003A544C">
          <w:rPr>
            <w:rStyle w:val="Hyperlink"/>
            <w:noProof/>
          </w:rPr>
          <w:t>Appendix D - Usage Examples</w:t>
        </w:r>
        <w:r w:rsidR="00183E4D">
          <w:rPr>
            <w:noProof/>
            <w:webHidden/>
          </w:rPr>
          <w:tab/>
        </w:r>
        <w:r w:rsidR="00183E4D">
          <w:rPr>
            <w:noProof/>
            <w:webHidden/>
          </w:rPr>
          <w:fldChar w:fldCharType="begin"/>
        </w:r>
        <w:r w:rsidR="00183E4D">
          <w:rPr>
            <w:noProof/>
            <w:webHidden/>
          </w:rPr>
          <w:instrText xml:space="preserve"> PAGEREF _Toc512523859 \h </w:instrText>
        </w:r>
        <w:r w:rsidR="00183E4D">
          <w:rPr>
            <w:noProof/>
            <w:webHidden/>
          </w:rPr>
        </w:r>
        <w:r w:rsidR="00183E4D">
          <w:rPr>
            <w:noProof/>
            <w:webHidden/>
          </w:rPr>
          <w:fldChar w:fldCharType="separate"/>
        </w:r>
        <w:r w:rsidR="00183E4D">
          <w:rPr>
            <w:noProof/>
            <w:webHidden/>
          </w:rPr>
          <w:t>12</w:t>
        </w:r>
        <w:r w:rsidR="00183E4D">
          <w:rPr>
            <w:noProof/>
            <w:webHidden/>
          </w:rPr>
          <w:fldChar w:fldCharType="end"/>
        </w:r>
      </w:hyperlink>
    </w:p>
    <w:p w14:paraId="638D98FA" w14:textId="2BADEEAC" w:rsidR="000B410A" w:rsidRPr="000B410A" w:rsidRDefault="000B410A">
      <w:r>
        <w:fldChar w:fldCharType="end"/>
      </w:r>
    </w:p>
    <w:p w14:paraId="4A32ACC6" w14:textId="77777777" w:rsidR="00640B1F" w:rsidRDefault="00640B1F" w:rsidP="00640B1F">
      <w:pPr>
        <w:pStyle w:val="Title"/>
      </w:pPr>
      <w:r>
        <w:br w:type="page"/>
      </w:r>
      <w:r>
        <w:lastRenderedPageBreak/>
        <w:t>Table of Figures</w:t>
      </w:r>
    </w:p>
    <w:p w14:paraId="4A10FDDD" w14:textId="77777777" w:rsidR="0031072B" w:rsidRPr="0031072B" w:rsidRDefault="0031072B"/>
    <w:p w14:paraId="08E7F0A3" w14:textId="23D28F8B" w:rsidR="00595D9C" w:rsidRPr="007E7E19" w:rsidRDefault="00A04B60" w:rsidP="00A04B60">
      <w:pPr>
        <w:pStyle w:val="Heading1"/>
        <w:numPr>
          <w:ilvl w:val="0"/>
          <w:numId w:val="0"/>
        </w:numPr>
      </w:pPr>
      <w:r>
        <w:rPr>
          <w:rFonts w:asciiTheme="minorHAnsi" w:hAnsiTheme="minorHAnsi" w:cs="Times New Roman"/>
          <w:b w:val="0"/>
          <w:bCs w:val="0"/>
          <w:kern w:val="0"/>
          <w:sz w:val="22"/>
          <w:szCs w:val="24"/>
        </w:rPr>
        <w:fldChar w:fldCharType="begin"/>
      </w:r>
      <w:r>
        <w:instrText xml:space="preserve"> TOC \h \z \c "Figure" </w:instrText>
      </w:r>
      <w:r>
        <w:rPr>
          <w:rFonts w:asciiTheme="minorHAnsi" w:hAnsiTheme="minorHAnsi" w:cs="Times New Roman"/>
          <w:b w:val="0"/>
          <w:bCs w:val="0"/>
          <w:kern w:val="0"/>
          <w:sz w:val="22"/>
          <w:szCs w:val="24"/>
        </w:rPr>
        <w:fldChar w:fldCharType="separate"/>
      </w:r>
      <w:bookmarkStart w:id="7" w:name="_Toc512523845"/>
      <w:r w:rsidR="00183E4D">
        <w:rPr>
          <w:rFonts w:asciiTheme="minorHAnsi" w:hAnsiTheme="minorHAnsi" w:cs="Times New Roman"/>
          <w:noProof/>
          <w:kern w:val="0"/>
          <w:sz w:val="22"/>
          <w:szCs w:val="24"/>
        </w:rPr>
        <w:t>No table of figures entries found.</w:t>
      </w:r>
      <w:r>
        <w:fldChar w:fldCharType="end"/>
      </w:r>
      <w:r w:rsidR="00640B1F">
        <w:br w:type="page"/>
      </w:r>
      <w:bookmarkStart w:id="8" w:name="_Toc105492366"/>
      <w:bookmarkStart w:id="9" w:name="_Toc116820695"/>
      <w:r w:rsidR="00595D9C" w:rsidRPr="007E7E19">
        <w:lastRenderedPageBreak/>
        <w:t>Document History</w:t>
      </w:r>
      <w:bookmarkEnd w:id="7"/>
      <w:bookmarkEnd w:id="8"/>
      <w:bookmarkEnd w:id="9"/>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5D4129">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5D4129">
        <w:tc>
          <w:tcPr>
            <w:tcW w:w="1188" w:type="dxa"/>
            <w:tcBorders>
              <w:top w:val="double" w:sz="4" w:space="0" w:color="auto"/>
              <w:bottom w:val="single" w:sz="4" w:space="0" w:color="auto"/>
            </w:tcBorders>
          </w:tcPr>
          <w:p w14:paraId="6CC96457" w14:textId="3C28166E" w:rsidR="00595D9C" w:rsidRDefault="00003415" w:rsidP="005303DA">
            <w:pPr>
              <w:pStyle w:val="BodyText"/>
              <w:spacing w:after="0"/>
            </w:pPr>
            <w:r>
              <w:t>0.1</w:t>
            </w:r>
          </w:p>
        </w:tc>
        <w:tc>
          <w:tcPr>
            <w:tcW w:w="1440" w:type="dxa"/>
            <w:tcBorders>
              <w:top w:val="double" w:sz="4" w:space="0" w:color="auto"/>
              <w:bottom w:val="single" w:sz="4" w:space="0" w:color="auto"/>
            </w:tcBorders>
          </w:tcPr>
          <w:p w14:paraId="051B581E" w14:textId="393A131B" w:rsidR="00595D9C" w:rsidRDefault="005D4129" w:rsidP="005303DA">
            <w:pPr>
              <w:pStyle w:val="BodyText"/>
              <w:spacing w:after="0"/>
            </w:pPr>
            <w:r>
              <w:t>April 3, 2018</w:t>
            </w:r>
          </w:p>
        </w:tc>
        <w:tc>
          <w:tcPr>
            <w:tcW w:w="2520" w:type="dxa"/>
            <w:tcBorders>
              <w:top w:val="double" w:sz="4" w:space="0" w:color="auto"/>
              <w:bottom w:val="single" w:sz="4" w:space="0" w:color="auto"/>
            </w:tcBorders>
          </w:tcPr>
          <w:p w14:paraId="051029C7" w14:textId="50E3C463" w:rsidR="00595D9C" w:rsidRDefault="00003415" w:rsidP="005303DA">
            <w:pPr>
              <w:pStyle w:val="BodyText"/>
              <w:spacing w:after="0"/>
            </w:pPr>
            <w:r>
              <w:t>Brook Path Partners, Inc.</w:t>
            </w:r>
            <w:r w:rsidR="003921F8">
              <w:t xml:space="preserve"> for CME Group</w:t>
            </w:r>
          </w:p>
        </w:tc>
        <w:tc>
          <w:tcPr>
            <w:tcW w:w="4410" w:type="dxa"/>
            <w:tcBorders>
              <w:top w:val="double" w:sz="4" w:space="0" w:color="auto"/>
              <w:bottom w:val="single" w:sz="4" w:space="0" w:color="auto"/>
            </w:tcBorders>
          </w:tcPr>
          <w:p w14:paraId="581F7795" w14:textId="55743551" w:rsidR="00595D9C" w:rsidRDefault="00003415" w:rsidP="005303DA">
            <w:pPr>
              <w:pStyle w:val="BodyText"/>
              <w:spacing w:after="0"/>
            </w:pPr>
            <w:r>
              <w:t>Initial draft</w:t>
            </w:r>
          </w:p>
        </w:tc>
      </w:tr>
      <w:tr w:rsidR="00C47DDA" w14:paraId="73D4B569" w14:textId="77777777" w:rsidTr="00783746">
        <w:tc>
          <w:tcPr>
            <w:tcW w:w="1188" w:type="dxa"/>
            <w:tcBorders>
              <w:top w:val="single" w:sz="4" w:space="0" w:color="auto"/>
              <w:bottom w:val="single" w:sz="4" w:space="0" w:color="auto"/>
            </w:tcBorders>
          </w:tcPr>
          <w:p w14:paraId="56663B3E" w14:textId="02A9DCBB" w:rsidR="00C47DDA" w:rsidRDefault="00C47DDA" w:rsidP="00C47DDA">
            <w:pPr>
              <w:pStyle w:val="BodyText"/>
              <w:spacing w:after="0"/>
            </w:pPr>
            <w:r>
              <w:t>0.2</w:t>
            </w:r>
          </w:p>
        </w:tc>
        <w:tc>
          <w:tcPr>
            <w:tcW w:w="1440" w:type="dxa"/>
            <w:tcBorders>
              <w:top w:val="single" w:sz="4" w:space="0" w:color="auto"/>
              <w:bottom w:val="single" w:sz="4" w:space="0" w:color="auto"/>
            </w:tcBorders>
          </w:tcPr>
          <w:p w14:paraId="2AFB9C22" w14:textId="3CC77F9A" w:rsidR="00C47DDA" w:rsidRDefault="00C47DDA" w:rsidP="00C47DDA">
            <w:pPr>
              <w:pStyle w:val="BodyText"/>
              <w:spacing w:after="0"/>
            </w:pPr>
            <w:r>
              <w:t>April 11, 2018</w:t>
            </w:r>
          </w:p>
        </w:tc>
        <w:tc>
          <w:tcPr>
            <w:tcW w:w="2520" w:type="dxa"/>
            <w:tcBorders>
              <w:top w:val="single" w:sz="4" w:space="0" w:color="auto"/>
              <w:bottom w:val="single" w:sz="4" w:space="0" w:color="auto"/>
            </w:tcBorders>
          </w:tcPr>
          <w:p w14:paraId="11A184CB" w14:textId="7C1A768E" w:rsidR="00C47DDA" w:rsidRDefault="00C47DDA" w:rsidP="00C47DDA">
            <w:pPr>
              <w:pStyle w:val="BodyText"/>
              <w:spacing w:after="0"/>
            </w:pPr>
            <w:r>
              <w:t>Brook Path Partners, Inc. for CME Group</w:t>
            </w:r>
          </w:p>
        </w:tc>
        <w:tc>
          <w:tcPr>
            <w:tcW w:w="4410" w:type="dxa"/>
            <w:tcBorders>
              <w:top w:val="single" w:sz="4" w:space="0" w:color="auto"/>
              <w:bottom w:val="single" w:sz="4" w:space="0" w:color="auto"/>
            </w:tcBorders>
          </w:tcPr>
          <w:p w14:paraId="7C701B50" w14:textId="2E4E4D40" w:rsidR="00C47DDA" w:rsidRDefault="00C47DDA" w:rsidP="00C47DDA">
            <w:pPr>
              <w:pStyle w:val="BodyText"/>
              <w:spacing w:after="0"/>
            </w:pPr>
            <w:r>
              <w:t>Added a second enumeration splitting BTU/</w:t>
            </w:r>
            <w:proofErr w:type="spellStart"/>
            <w:r>
              <w:t>Kwh</w:t>
            </w:r>
            <w:proofErr w:type="spellEnd"/>
            <w:r>
              <w:t xml:space="preserve"> and </w:t>
            </w:r>
            <w:r w:rsidR="004971AC">
              <w:t>MM</w:t>
            </w:r>
            <w:r>
              <w:t>BTU/</w:t>
            </w:r>
            <w:proofErr w:type="spellStart"/>
            <w:r>
              <w:t>Mwh</w:t>
            </w:r>
            <w:proofErr w:type="spellEnd"/>
            <w:r>
              <w:t>.</w:t>
            </w:r>
          </w:p>
        </w:tc>
      </w:tr>
      <w:tr w:rsidR="00783746" w14:paraId="7B44F650" w14:textId="77777777" w:rsidTr="00BF2817">
        <w:tc>
          <w:tcPr>
            <w:tcW w:w="1188" w:type="dxa"/>
            <w:tcBorders>
              <w:top w:val="single" w:sz="4" w:space="0" w:color="auto"/>
              <w:bottom w:val="single" w:sz="4" w:space="0" w:color="auto"/>
            </w:tcBorders>
          </w:tcPr>
          <w:p w14:paraId="0F5C489C" w14:textId="2CFFFA11" w:rsidR="00783746" w:rsidRDefault="00783746" w:rsidP="00C47DDA">
            <w:pPr>
              <w:pStyle w:val="BodyText"/>
              <w:spacing w:after="0"/>
            </w:pPr>
            <w:r>
              <w:t>0.3</w:t>
            </w:r>
          </w:p>
        </w:tc>
        <w:tc>
          <w:tcPr>
            <w:tcW w:w="1440" w:type="dxa"/>
            <w:tcBorders>
              <w:top w:val="single" w:sz="4" w:space="0" w:color="auto"/>
              <w:bottom w:val="single" w:sz="4" w:space="0" w:color="auto"/>
            </w:tcBorders>
          </w:tcPr>
          <w:p w14:paraId="625A3B66" w14:textId="6F02B7F5" w:rsidR="00783746" w:rsidRDefault="00783746" w:rsidP="00C47DDA">
            <w:pPr>
              <w:pStyle w:val="BodyText"/>
              <w:spacing w:after="0"/>
            </w:pPr>
            <w:r>
              <w:t>April 12, 2018</w:t>
            </w:r>
          </w:p>
        </w:tc>
        <w:tc>
          <w:tcPr>
            <w:tcW w:w="2520" w:type="dxa"/>
            <w:tcBorders>
              <w:top w:val="single" w:sz="4" w:space="0" w:color="auto"/>
              <w:bottom w:val="single" w:sz="4" w:space="0" w:color="auto"/>
            </w:tcBorders>
          </w:tcPr>
          <w:p w14:paraId="3AA590C5" w14:textId="04AAE155" w:rsidR="00783746" w:rsidRDefault="00783746" w:rsidP="00C47DDA">
            <w:pPr>
              <w:pStyle w:val="BodyText"/>
              <w:spacing w:after="0"/>
            </w:pPr>
            <w:r>
              <w:t>Brook Path Partners, Inc. for CME Group</w:t>
            </w:r>
          </w:p>
        </w:tc>
        <w:tc>
          <w:tcPr>
            <w:tcW w:w="4410" w:type="dxa"/>
            <w:tcBorders>
              <w:top w:val="single" w:sz="4" w:space="0" w:color="auto"/>
              <w:bottom w:val="single" w:sz="4" w:space="0" w:color="auto"/>
            </w:tcBorders>
          </w:tcPr>
          <w:p w14:paraId="7CAFB1CD" w14:textId="11498199" w:rsidR="00783746" w:rsidRDefault="00783746" w:rsidP="00C47DDA">
            <w:pPr>
              <w:pStyle w:val="BodyText"/>
              <w:spacing w:after="0"/>
            </w:pPr>
            <w:r>
              <w:t xml:space="preserve">Added </w:t>
            </w:r>
            <w:r w:rsidR="00DE4E99">
              <w:t xml:space="preserve">terminology definitions, </w:t>
            </w:r>
            <w:r>
              <w:t>references</w:t>
            </w:r>
            <w:r w:rsidR="00DE4E99">
              <w:t xml:space="preserve"> and glossary entries.</w:t>
            </w:r>
          </w:p>
        </w:tc>
      </w:tr>
      <w:tr w:rsidR="00BF2817" w14:paraId="6A915B76" w14:textId="77777777" w:rsidTr="00EB03A8">
        <w:tc>
          <w:tcPr>
            <w:tcW w:w="1188" w:type="dxa"/>
            <w:tcBorders>
              <w:top w:val="single" w:sz="4" w:space="0" w:color="auto"/>
              <w:bottom w:val="single" w:sz="4" w:space="0" w:color="auto"/>
            </w:tcBorders>
          </w:tcPr>
          <w:p w14:paraId="53381B5F" w14:textId="4827EA4D" w:rsidR="00BF2817" w:rsidRDefault="00BF2817" w:rsidP="00C47DDA">
            <w:pPr>
              <w:pStyle w:val="BodyText"/>
              <w:spacing w:after="0"/>
            </w:pPr>
            <w:r>
              <w:t>0.4</w:t>
            </w:r>
          </w:p>
        </w:tc>
        <w:tc>
          <w:tcPr>
            <w:tcW w:w="1440" w:type="dxa"/>
            <w:tcBorders>
              <w:top w:val="single" w:sz="4" w:space="0" w:color="auto"/>
              <w:bottom w:val="single" w:sz="4" w:space="0" w:color="auto"/>
            </w:tcBorders>
          </w:tcPr>
          <w:p w14:paraId="2A7EF310" w14:textId="3F553AE9" w:rsidR="00BF2817" w:rsidRDefault="00BF2817" w:rsidP="00C47DDA">
            <w:pPr>
              <w:pStyle w:val="BodyText"/>
              <w:spacing w:after="0"/>
            </w:pPr>
            <w:r>
              <w:t>April 26, 2018</w:t>
            </w:r>
          </w:p>
        </w:tc>
        <w:tc>
          <w:tcPr>
            <w:tcW w:w="2520" w:type="dxa"/>
            <w:tcBorders>
              <w:top w:val="single" w:sz="4" w:space="0" w:color="auto"/>
              <w:bottom w:val="single" w:sz="4" w:space="0" w:color="auto"/>
            </w:tcBorders>
          </w:tcPr>
          <w:p w14:paraId="633F87B3" w14:textId="1A455297" w:rsidR="00BF2817" w:rsidRDefault="00BF2817" w:rsidP="00C47DDA">
            <w:pPr>
              <w:pStyle w:val="BodyText"/>
              <w:spacing w:after="0"/>
            </w:pPr>
            <w:r>
              <w:t>Brook Path Partners, Inc. for CME Group</w:t>
            </w:r>
          </w:p>
        </w:tc>
        <w:tc>
          <w:tcPr>
            <w:tcW w:w="4410" w:type="dxa"/>
            <w:tcBorders>
              <w:top w:val="single" w:sz="4" w:space="0" w:color="auto"/>
              <w:bottom w:val="single" w:sz="4" w:space="0" w:color="auto"/>
            </w:tcBorders>
          </w:tcPr>
          <w:p w14:paraId="1745C488" w14:textId="3DA204F9" w:rsidR="00BF2817" w:rsidRDefault="00BF2817" w:rsidP="00C47DDA">
            <w:pPr>
              <w:pStyle w:val="BodyText"/>
              <w:spacing w:after="0"/>
            </w:pPr>
            <w:r>
              <w:t xml:space="preserve">Added TACO as </w:t>
            </w:r>
            <w:proofErr w:type="spellStart"/>
            <w:proofErr w:type="gramStart"/>
            <w:r>
              <w:t>TrdSubType</w:t>
            </w:r>
            <w:proofErr w:type="spellEnd"/>
            <w:r>
              <w:t>(</w:t>
            </w:r>
            <w:proofErr w:type="gramEnd"/>
            <w:r>
              <w:t>829) enumeration.</w:t>
            </w:r>
          </w:p>
        </w:tc>
      </w:tr>
      <w:tr w:rsidR="004B0175" w14:paraId="40792B44" w14:textId="77777777" w:rsidTr="005D4129">
        <w:tc>
          <w:tcPr>
            <w:tcW w:w="1188" w:type="dxa"/>
            <w:tcBorders>
              <w:top w:val="single" w:sz="4" w:space="0" w:color="auto"/>
              <w:bottom w:val="double" w:sz="4" w:space="0" w:color="auto"/>
            </w:tcBorders>
          </w:tcPr>
          <w:p w14:paraId="31A288AB" w14:textId="037DB217" w:rsidR="004B0175" w:rsidRDefault="004B0175" w:rsidP="00C47DDA">
            <w:pPr>
              <w:pStyle w:val="BodyText"/>
              <w:spacing w:after="0"/>
            </w:pPr>
            <w:r>
              <w:t>0.5</w:t>
            </w:r>
          </w:p>
        </w:tc>
        <w:tc>
          <w:tcPr>
            <w:tcW w:w="1440" w:type="dxa"/>
            <w:tcBorders>
              <w:top w:val="single" w:sz="4" w:space="0" w:color="auto"/>
              <w:bottom w:val="double" w:sz="4" w:space="0" w:color="auto"/>
            </w:tcBorders>
          </w:tcPr>
          <w:p w14:paraId="4361DE37" w14:textId="4DA2DA6E" w:rsidR="004B0175" w:rsidRDefault="004B0175" w:rsidP="00C47DDA">
            <w:pPr>
              <w:pStyle w:val="BodyText"/>
              <w:spacing w:after="0"/>
            </w:pPr>
            <w:r>
              <w:t>May 2, 2018</w:t>
            </w:r>
          </w:p>
        </w:tc>
        <w:tc>
          <w:tcPr>
            <w:tcW w:w="2520" w:type="dxa"/>
            <w:tcBorders>
              <w:top w:val="single" w:sz="4" w:space="0" w:color="auto"/>
              <w:bottom w:val="double" w:sz="4" w:space="0" w:color="auto"/>
            </w:tcBorders>
          </w:tcPr>
          <w:p w14:paraId="1C96B282" w14:textId="6D820CA8" w:rsidR="004B0175" w:rsidRDefault="004B0175" w:rsidP="00C47DDA">
            <w:pPr>
              <w:pStyle w:val="BodyText"/>
              <w:spacing w:after="0"/>
            </w:pPr>
            <w:r>
              <w:t>Brook Path Partners, Inc. for CME Group</w:t>
            </w:r>
          </w:p>
        </w:tc>
        <w:tc>
          <w:tcPr>
            <w:tcW w:w="4410" w:type="dxa"/>
            <w:tcBorders>
              <w:top w:val="single" w:sz="4" w:space="0" w:color="auto"/>
              <w:bottom w:val="double" w:sz="4" w:space="0" w:color="auto"/>
            </w:tcBorders>
          </w:tcPr>
          <w:p w14:paraId="5C4AE67D" w14:textId="43A75B2C" w:rsidR="004B0175" w:rsidRDefault="004B0175" w:rsidP="00C47DDA">
            <w:pPr>
              <w:pStyle w:val="BodyText"/>
              <w:spacing w:after="0"/>
            </w:pPr>
            <w:r>
              <w:t>Revised elaboration for TACO to be a bit more generic.</w:t>
            </w: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25F16752" w14:textId="77777777" w:rsidR="00640B1F" w:rsidRDefault="00595D9C" w:rsidP="00595D9C">
      <w:pPr>
        <w:pStyle w:val="Heading1"/>
      </w:pPr>
      <w:r>
        <w:br w:type="page"/>
      </w:r>
      <w:bookmarkStart w:id="10" w:name="_Toc512523846"/>
      <w:r>
        <w:lastRenderedPageBreak/>
        <w:t>Introduction</w:t>
      </w:r>
      <w:bookmarkEnd w:id="10"/>
    </w:p>
    <w:p w14:paraId="43DBDFBF" w14:textId="72A6D697" w:rsidR="00E233B5" w:rsidRDefault="00E233B5" w:rsidP="00403113">
      <w:pPr>
        <w:pStyle w:val="BodyText"/>
      </w:pPr>
    </w:p>
    <w:p w14:paraId="74F6EDF1" w14:textId="23E0C6E0" w:rsidR="00AB2374" w:rsidRPr="006038CE" w:rsidRDefault="005C392E" w:rsidP="00403113">
      <w:pPr>
        <w:pStyle w:val="BodyText"/>
        <w:rPr>
          <w:sz w:val="24"/>
        </w:rPr>
      </w:pPr>
      <w:r w:rsidRPr="006038CE">
        <w:rPr>
          <w:sz w:val="24"/>
        </w:rPr>
        <w:t xml:space="preserve">This proposal </w:t>
      </w:r>
      <w:r w:rsidR="006038CE">
        <w:rPr>
          <w:sz w:val="24"/>
        </w:rPr>
        <w:t xml:space="preserve">adds </w:t>
      </w:r>
      <w:r w:rsidR="00DE4E99">
        <w:rPr>
          <w:sz w:val="24"/>
        </w:rPr>
        <w:t xml:space="preserve">two </w:t>
      </w:r>
      <w:r w:rsidR="006038CE" w:rsidRPr="006038CE">
        <w:rPr>
          <w:sz w:val="24"/>
        </w:rPr>
        <w:t>additional value</w:t>
      </w:r>
      <w:r w:rsidR="00DE4E99">
        <w:rPr>
          <w:sz w:val="24"/>
        </w:rPr>
        <w:t>s</w:t>
      </w:r>
      <w:r w:rsidR="006038CE" w:rsidRPr="006038CE">
        <w:rPr>
          <w:sz w:val="24"/>
        </w:rPr>
        <w:t xml:space="preserve"> </w:t>
      </w:r>
      <w:r w:rsidR="006038CE">
        <w:rPr>
          <w:sz w:val="24"/>
        </w:rPr>
        <w:t xml:space="preserve">to </w:t>
      </w:r>
      <w:r w:rsidR="006038CE" w:rsidRPr="006038CE">
        <w:rPr>
          <w:sz w:val="24"/>
        </w:rPr>
        <w:t>the FIX standard list of units of measure.</w:t>
      </w:r>
      <w:r w:rsidR="00BF2817">
        <w:rPr>
          <w:sz w:val="24"/>
        </w:rPr>
        <w:t xml:space="preserve"> It also adds a new enumeration to </w:t>
      </w:r>
      <w:proofErr w:type="spellStart"/>
      <w:proofErr w:type="gramStart"/>
      <w:r w:rsidR="00BF2817">
        <w:rPr>
          <w:sz w:val="24"/>
        </w:rPr>
        <w:t>TrdSubType</w:t>
      </w:r>
      <w:proofErr w:type="spellEnd"/>
      <w:r w:rsidR="00BF2817">
        <w:rPr>
          <w:sz w:val="24"/>
        </w:rPr>
        <w:t>(</w:t>
      </w:r>
      <w:proofErr w:type="gramEnd"/>
      <w:r w:rsidR="00BF2817">
        <w:rPr>
          <w:sz w:val="24"/>
        </w:rPr>
        <w:t>829).</w:t>
      </w:r>
    </w:p>
    <w:p w14:paraId="7F2A2BF2" w14:textId="79270D69" w:rsidR="005C392E" w:rsidRDefault="005C392E" w:rsidP="00403113">
      <w:pPr>
        <w:pStyle w:val="BodyText"/>
      </w:pPr>
    </w:p>
    <w:p w14:paraId="5AECB499" w14:textId="164CC2E0" w:rsidR="0060604C" w:rsidRPr="00EF18AB" w:rsidRDefault="0060604C" w:rsidP="000E4262">
      <w:pPr>
        <w:pStyle w:val="Heading2"/>
      </w:pPr>
      <w:bookmarkStart w:id="11" w:name="_Toc512523847"/>
      <w:r>
        <w:t>Summary of Proposed Changes</w:t>
      </w:r>
      <w:bookmarkEnd w:id="11"/>
    </w:p>
    <w:p w14:paraId="5CF983AD" w14:textId="2E002676" w:rsidR="0060604C" w:rsidRPr="00C16A2A" w:rsidRDefault="0060604C" w:rsidP="00403113">
      <w:pPr>
        <w:pStyle w:val="BodyText"/>
        <w:rPr>
          <w:rFonts w:cstheme="minorHAnsi"/>
          <w:sz w:val="24"/>
        </w:rPr>
      </w:pPr>
      <w:r w:rsidRPr="00C16A2A">
        <w:rPr>
          <w:rFonts w:cstheme="minorHAnsi"/>
          <w:sz w:val="24"/>
        </w:rPr>
        <w:t>The summary of proposed changes to support the business requirements described in Section 2 are:</w:t>
      </w:r>
    </w:p>
    <w:p w14:paraId="03F0299B" w14:textId="013A559F" w:rsidR="006529D6" w:rsidRDefault="002B50B9" w:rsidP="00033FEA">
      <w:pPr>
        <w:pStyle w:val="BodyText"/>
        <w:numPr>
          <w:ilvl w:val="0"/>
          <w:numId w:val="8"/>
        </w:numPr>
        <w:spacing w:after="0"/>
        <w:rPr>
          <w:rFonts w:cstheme="minorHAnsi"/>
          <w:sz w:val="24"/>
        </w:rPr>
      </w:pPr>
      <w:r w:rsidRPr="006038CE">
        <w:rPr>
          <w:rFonts w:cstheme="minorHAnsi"/>
          <w:sz w:val="24"/>
        </w:rPr>
        <w:t xml:space="preserve">Add </w:t>
      </w:r>
      <w:r w:rsidR="00C47DDA">
        <w:rPr>
          <w:rFonts w:cstheme="minorHAnsi"/>
          <w:sz w:val="24"/>
        </w:rPr>
        <w:t xml:space="preserve">two </w:t>
      </w:r>
      <w:r w:rsidRPr="006038CE">
        <w:rPr>
          <w:rFonts w:cstheme="minorHAnsi"/>
          <w:sz w:val="24"/>
        </w:rPr>
        <w:t>enumeration</w:t>
      </w:r>
      <w:r w:rsidR="00C47DDA">
        <w:rPr>
          <w:rFonts w:cstheme="minorHAnsi"/>
          <w:sz w:val="24"/>
        </w:rPr>
        <w:t>s</w:t>
      </w:r>
      <w:r w:rsidR="009530E9" w:rsidRPr="006038CE">
        <w:rPr>
          <w:rFonts w:cstheme="minorHAnsi"/>
          <w:sz w:val="24"/>
        </w:rPr>
        <w:t xml:space="preserve"> to the </w:t>
      </w:r>
      <w:r w:rsidR="006038CE" w:rsidRPr="006038CE">
        <w:rPr>
          <w:rFonts w:cstheme="minorHAnsi"/>
          <w:sz w:val="24"/>
        </w:rPr>
        <w:t xml:space="preserve">FIX </w:t>
      </w:r>
      <w:r w:rsidR="009530E9" w:rsidRPr="006038CE">
        <w:rPr>
          <w:rFonts w:cstheme="minorHAnsi"/>
          <w:sz w:val="24"/>
        </w:rPr>
        <w:t>standard list of units of measure for "Heat Rate"</w:t>
      </w:r>
      <w:r w:rsidR="006038CE" w:rsidRPr="006038CE">
        <w:rPr>
          <w:rFonts w:cstheme="minorHAnsi"/>
          <w:sz w:val="24"/>
        </w:rPr>
        <w:t xml:space="preserve"> </w:t>
      </w:r>
      <w:r w:rsidR="00C47DDA">
        <w:rPr>
          <w:rFonts w:cstheme="minorHAnsi"/>
          <w:sz w:val="24"/>
        </w:rPr>
        <w:t xml:space="preserve">and </w:t>
      </w:r>
      <w:r w:rsidR="00C47DDA" w:rsidRPr="006038CE">
        <w:rPr>
          <w:rFonts w:cstheme="minorHAnsi"/>
          <w:sz w:val="24"/>
        </w:rPr>
        <w:t>"</w:t>
      </w:r>
      <w:r w:rsidR="00C47DDA">
        <w:rPr>
          <w:rFonts w:cstheme="minorHAnsi"/>
          <w:sz w:val="24"/>
        </w:rPr>
        <w:t xml:space="preserve">Mega </w:t>
      </w:r>
      <w:r w:rsidR="00C47DDA" w:rsidRPr="006038CE">
        <w:rPr>
          <w:rFonts w:cstheme="minorHAnsi"/>
          <w:sz w:val="24"/>
        </w:rPr>
        <w:t xml:space="preserve">Heat Rate" </w:t>
      </w:r>
      <w:r w:rsidR="00912540">
        <w:rPr>
          <w:rFonts w:cstheme="minorHAnsi"/>
          <w:sz w:val="24"/>
        </w:rPr>
        <w:t xml:space="preserve">– </w:t>
      </w:r>
      <w:r w:rsidR="00C47DDA">
        <w:rPr>
          <w:rFonts w:cstheme="minorHAnsi"/>
          <w:sz w:val="24"/>
        </w:rPr>
        <w:t xml:space="preserve">1) </w:t>
      </w:r>
      <w:r w:rsidR="00C47DDA" w:rsidRPr="006038CE">
        <w:rPr>
          <w:rFonts w:cstheme="minorHAnsi"/>
          <w:sz w:val="24"/>
        </w:rPr>
        <w:t xml:space="preserve">the number of BTUs required to produce one </w:t>
      </w:r>
      <w:r w:rsidR="00C47DDA">
        <w:rPr>
          <w:rFonts w:cstheme="minorHAnsi"/>
          <w:sz w:val="24"/>
        </w:rPr>
        <w:t>kilo</w:t>
      </w:r>
      <w:r w:rsidR="00C47DDA" w:rsidRPr="006038CE">
        <w:rPr>
          <w:rFonts w:cstheme="minorHAnsi"/>
          <w:sz w:val="24"/>
        </w:rPr>
        <w:t>watt hour of electricity</w:t>
      </w:r>
      <w:r w:rsidR="00C47DDA">
        <w:rPr>
          <w:rFonts w:cstheme="minorHAnsi"/>
          <w:sz w:val="24"/>
        </w:rPr>
        <w:t xml:space="preserve"> and 2) </w:t>
      </w:r>
      <w:r w:rsidR="006038CE" w:rsidRPr="006038CE">
        <w:rPr>
          <w:rFonts w:cstheme="minorHAnsi"/>
          <w:sz w:val="24"/>
        </w:rPr>
        <w:t xml:space="preserve">the number of </w:t>
      </w:r>
      <w:r w:rsidR="004971AC">
        <w:rPr>
          <w:rFonts w:cstheme="minorHAnsi"/>
          <w:sz w:val="24"/>
        </w:rPr>
        <w:t xml:space="preserve">million </w:t>
      </w:r>
      <w:r w:rsidR="006038CE" w:rsidRPr="006038CE">
        <w:rPr>
          <w:rFonts w:cstheme="minorHAnsi"/>
          <w:sz w:val="24"/>
        </w:rPr>
        <w:t>BTUs required to produce one megawatt hour of electricity</w:t>
      </w:r>
      <w:r w:rsidR="00C47DDA">
        <w:rPr>
          <w:rFonts w:cstheme="minorHAnsi"/>
          <w:sz w:val="24"/>
        </w:rPr>
        <w:t xml:space="preserve"> respectively</w:t>
      </w:r>
      <w:r w:rsidRPr="006038CE">
        <w:rPr>
          <w:rFonts w:cstheme="minorHAnsi"/>
          <w:sz w:val="24"/>
        </w:rPr>
        <w:t>.</w:t>
      </w:r>
      <w:r w:rsidR="0076094A">
        <w:rPr>
          <w:rFonts w:cstheme="minorHAnsi"/>
          <w:sz w:val="24"/>
        </w:rPr>
        <w:t xml:space="preserve"> The parent field is </w:t>
      </w:r>
      <w:proofErr w:type="spellStart"/>
      <w:proofErr w:type="gramStart"/>
      <w:r w:rsidR="0076094A">
        <w:rPr>
          <w:rFonts w:cstheme="minorHAnsi"/>
          <w:sz w:val="24"/>
        </w:rPr>
        <w:t>UnitOfMeasure</w:t>
      </w:r>
      <w:proofErr w:type="spellEnd"/>
      <w:r w:rsidR="0076094A">
        <w:rPr>
          <w:rFonts w:cstheme="minorHAnsi"/>
          <w:sz w:val="24"/>
        </w:rPr>
        <w:t>(</w:t>
      </w:r>
      <w:proofErr w:type="gramEnd"/>
      <w:r w:rsidR="0076094A">
        <w:rPr>
          <w:rFonts w:cstheme="minorHAnsi"/>
          <w:sz w:val="24"/>
        </w:rPr>
        <w:t>996).</w:t>
      </w:r>
    </w:p>
    <w:p w14:paraId="35F36ADC" w14:textId="00E647C3" w:rsidR="00BF2817" w:rsidRPr="006038CE" w:rsidRDefault="00BF2817" w:rsidP="00033FEA">
      <w:pPr>
        <w:pStyle w:val="BodyText"/>
        <w:numPr>
          <w:ilvl w:val="0"/>
          <w:numId w:val="8"/>
        </w:numPr>
        <w:spacing w:after="0"/>
        <w:rPr>
          <w:rFonts w:cstheme="minorHAnsi"/>
          <w:sz w:val="24"/>
        </w:rPr>
      </w:pPr>
      <w:r>
        <w:rPr>
          <w:rFonts w:cstheme="minorHAnsi"/>
          <w:sz w:val="24"/>
        </w:rPr>
        <w:t xml:space="preserve">Add an enumeration to the FIX standard values for </w:t>
      </w:r>
      <w:proofErr w:type="spellStart"/>
      <w:proofErr w:type="gramStart"/>
      <w:r>
        <w:rPr>
          <w:rFonts w:cstheme="minorHAnsi"/>
          <w:sz w:val="24"/>
        </w:rPr>
        <w:t>TrdSubType</w:t>
      </w:r>
      <w:proofErr w:type="spellEnd"/>
      <w:r>
        <w:rPr>
          <w:rFonts w:cstheme="minorHAnsi"/>
          <w:sz w:val="24"/>
        </w:rPr>
        <w:t>(</w:t>
      </w:r>
      <w:proofErr w:type="gramEnd"/>
      <w:r>
        <w:rPr>
          <w:rFonts w:cstheme="minorHAnsi"/>
          <w:sz w:val="24"/>
        </w:rPr>
        <w:t>829) for Trade At Cash Open "TACO".</w:t>
      </w:r>
      <w:r w:rsidR="005247B3">
        <w:rPr>
          <w:rFonts w:cstheme="minorHAnsi"/>
          <w:sz w:val="24"/>
        </w:rPr>
        <w:t xml:space="preserve"> The corresponding </w:t>
      </w:r>
      <w:proofErr w:type="spellStart"/>
      <w:proofErr w:type="gramStart"/>
      <w:r w:rsidR="005247B3">
        <w:rPr>
          <w:rFonts w:cstheme="minorHAnsi"/>
          <w:sz w:val="24"/>
        </w:rPr>
        <w:t>TrdType</w:t>
      </w:r>
      <w:proofErr w:type="spellEnd"/>
      <w:r w:rsidR="005247B3">
        <w:rPr>
          <w:rFonts w:cstheme="minorHAnsi"/>
          <w:sz w:val="24"/>
        </w:rPr>
        <w:t>(</w:t>
      </w:r>
      <w:proofErr w:type="gramEnd"/>
      <w:r w:rsidR="005247B3">
        <w:rPr>
          <w:rFonts w:cstheme="minorHAnsi"/>
          <w:sz w:val="24"/>
        </w:rPr>
        <w:t>828) value is either 0 (Regular trade) or 1 (Block trade).</w:t>
      </w:r>
    </w:p>
    <w:p w14:paraId="6F9CEF2C" w14:textId="77777777" w:rsidR="00EF509C" w:rsidRPr="006D3440" w:rsidRDefault="00EF509C" w:rsidP="00EF509C">
      <w:pPr>
        <w:pStyle w:val="BodyText"/>
        <w:rPr>
          <w:szCs w:val="22"/>
        </w:rPr>
      </w:pPr>
    </w:p>
    <w:p w14:paraId="38542809" w14:textId="77777777" w:rsidR="002E7FCD" w:rsidRDefault="002E7FCD" w:rsidP="002E7FCD">
      <w:pPr>
        <w:pStyle w:val="Heading1"/>
      </w:pPr>
      <w:bookmarkStart w:id="12" w:name="_Toc512523848"/>
      <w:r>
        <w:t xml:space="preserve">Business </w:t>
      </w:r>
      <w:r w:rsidR="00BB510E">
        <w:t>Requirements</w:t>
      </w:r>
      <w:bookmarkEnd w:id="12"/>
    </w:p>
    <w:p w14:paraId="50EF21FE" w14:textId="549FF9A1" w:rsidR="00A022A8" w:rsidRPr="00EF18AB" w:rsidRDefault="009530E9" w:rsidP="000E4262">
      <w:pPr>
        <w:pStyle w:val="Heading2"/>
      </w:pPr>
      <w:bookmarkStart w:id="13" w:name="_Toc512523849"/>
      <w:r>
        <w:t>Heat Rate as a Unit of Measure</w:t>
      </w:r>
      <w:bookmarkEnd w:id="13"/>
    </w:p>
    <w:p w14:paraId="1632B473" w14:textId="0A166B18" w:rsidR="0058434F" w:rsidRDefault="009530E9" w:rsidP="00BA4251">
      <w:pPr>
        <w:pStyle w:val="HTMLPreformatted"/>
        <w:spacing w:after="120"/>
        <w:rPr>
          <w:rFonts w:asciiTheme="minorHAnsi" w:hAnsiTheme="minorHAnsi" w:cstheme="minorHAnsi"/>
          <w:sz w:val="24"/>
          <w:szCs w:val="24"/>
        </w:rPr>
      </w:pPr>
      <w:r w:rsidRPr="006038CE">
        <w:rPr>
          <w:rFonts w:asciiTheme="minorHAnsi" w:hAnsiTheme="minorHAnsi" w:cstheme="minorHAnsi"/>
          <w:sz w:val="24"/>
          <w:szCs w:val="24"/>
        </w:rPr>
        <w:t>A new unit of measure for energy commodit</w:t>
      </w:r>
      <w:r w:rsidR="00BA4251">
        <w:rPr>
          <w:rFonts w:asciiTheme="minorHAnsi" w:hAnsiTheme="minorHAnsi" w:cstheme="minorHAnsi"/>
          <w:sz w:val="24"/>
          <w:szCs w:val="24"/>
        </w:rPr>
        <w:t xml:space="preserve">y trades </w:t>
      </w:r>
      <w:r w:rsidRPr="006038CE">
        <w:rPr>
          <w:rFonts w:asciiTheme="minorHAnsi" w:hAnsiTheme="minorHAnsi" w:cstheme="minorHAnsi"/>
          <w:sz w:val="24"/>
          <w:szCs w:val="24"/>
        </w:rPr>
        <w:t>has been identified –</w:t>
      </w:r>
      <w:r w:rsidR="00DE4E99">
        <w:rPr>
          <w:rFonts w:asciiTheme="minorHAnsi" w:hAnsiTheme="minorHAnsi" w:cstheme="minorHAnsi"/>
          <w:sz w:val="24"/>
          <w:szCs w:val="24"/>
        </w:rPr>
        <w:t xml:space="preserve"> </w:t>
      </w:r>
      <w:r w:rsidRPr="006038CE">
        <w:rPr>
          <w:rFonts w:asciiTheme="minorHAnsi" w:hAnsiTheme="minorHAnsi" w:cstheme="minorHAnsi"/>
          <w:sz w:val="24"/>
          <w:szCs w:val="24"/>
        </w:rPr>
        <w:t xml:space="preserve">the number of </w:t>
      </w:r>
      <w:r w:rsidR="004971AC">
        <w:rPr>
          <w:rFonts w:asciiTheme="minorHAnsi" w:hAnsiTheme="minorHAnsi" w:cstheme="minorHAnsi"/>
          <w:sz w:val="24"/>
          <w:szCs w:val="24"/>
        </w:rPr>
        <w:t xml:space="preserve">million </w:t>
      </w:r>
      <w:r w:rsidRPr="006038CE">
        <w:rPr>
          <w:rFonts w:asciiTheme="minorHAnsi" w:hAnsiTheme="minorHAnsi" w:cstheme="minorHAnsi"/>
          <w:sz w:val="24"/>
          <w:szCs w:val="24"/>
        </w:rPr>
        <w:t xml:space="preserve">British Thermal Units (BTUs) required to produce one megawatt hour of electricity. The only </w:t>
      </w:r>
      <w:r w:rsidR="00912540">
        <w:rPr>
          <w:rFonts w:asciiTheme="minorHAnsi" w:hAnsiTheme="minorHAnsi" w:cstheme="minorHAnsi"/>
          <w:sz w:val="24"/>
          <w:szCs w:val="24"/>
        </w:rPr>
        <w:t xml:space="preserve">current </w:t>
      </w:r>
      <w:r w:rsidRPr="006038CE">
        <w:rPr>
          <w:rFonts w:asciiTheme="minorHAnsi" w:hAnsiTheme="minorHAnsi" w:cstheme="minorHAnsi"/>
          <w:sz w:val="24"/>
          <w:szCs w:val="24"/>
        </w:rPr>
        <w:t xml:space="preserve">use case for CME is in the fixed stream of a commodity swap, specifically </w:t>
      </w:r>
      <w:r w:rsidR="0076094A">
        <w:rPr>
          <w:rFonts w:asciiTheme="minorHAnsi" w:hAnsiTheme="minorHAnsi" w:cstheme="minorHAnsi"/>
          <w:sz w:val="24"/>
          <w:szCs w:val="24"/>
        </w:rPr>
        <w:t xml:space="preserve">the field </w:t>
      </w:r>
      <w:proofErr w:type="spellStart"/>
      <w:proofErr w:type="gramStart"/>
      <w:r w:rsidRPr="006038CE">
        <w:rPr>
          <w:rFonts w:asciiTheme="minorHAnsi" w:hAnsiTheme="minorHAnsi" w:cstheme="minorHAnsi"/>
          <w:sz w:val="24"/>
          <w:szCs w:val="24"/>
        </w:rPr>
        <w:t>PaymentStreamFixedAmountUnitOfMeasure</w:t>
      </w:r>
      <w:proofErr w:type="spellEnd"/>
      <w:r w:rsidRPr="006038CE">
        <w:rPr>
          <w:rFonts w:asciiTheme="minorHAnsi" w:hAnsiTheme="minorHAnsi" w:cstheme="minorHAnsi"/>
          <w:sz w:val="24"/>
          <w:szCs w:val="24"/>
        </w:rPr>
        <w:t>(</w:t>
      </w:r>
      <w:proofErr w:type="gramEnd"/>
      <w:r w:rsidRPr="006038CE">
        <w:rPr>
          <w:rFonts w:asciiTheme="minorHAnsi" w:hAnsiTheme="minorHAnsi" w:cstheme="minorHAnsi"/>
          <w:sz w:val="24"/>
          <w:szCs w:val="24"/>
        </w:rPr>
        <w:t xml:space="preserve">41187). After internal debate it was determined that this should be a "Fixed Magnitude" enumeration, not "Variable Magnitude" in that it is </w:t>
      </w:r>
      <w:r w:rsidR="006038CE">
        <w:rPr>
          <w:rFonts w:asciiTheme="minorHAnsi" w:hAnsiTheme="minorHAnsi" w:cstheme="minorHAnsi"/>
          <w:sz w:val="24"/>
          <w:szCs w:val="24"/>
        </w:rPr>
        <w:t xml:space="preserve">a </w:t>
      </w:r>
      <w:r w:rsidRPr="006038CE">
        <w:rPr>
          <w:rFonts w:asciiTheme="minorHAnsi" w:hAnsiTheme="minorHAnsi" w:cstheme="minorHAnsi"/>
          <w:sz w:val="24"/>
          <w:szCs w:val="24"/>
        </w:rPr>
        <w:t>pre-defined ratio in the energy sector.</w:t>
      </w:r>
    </w:p>
    <w:p w14:paraId="1580A335" w14:textId="09F78DA0" w:rsidR="00783746" w:rsidRDefault="00DE4E99" w:rsidP="00BA4251">
      <w:pPr>
        <w:pStyle w:val="HTMLPreformatted"/>
        <w:spacing w:after="120"/>
        <w:rPr>
          <w:rFonts w:asciiTheme="minorHAnsi" w:hAnsiTheme="minorHAnsi" w:cstheme="minorHAnsi"/>
          <w:sz w:val="24"/>
          <w:szCs w:val="24"/>
        </w:rPr>
      </w:pPr>
      <w:r>
        <w:rPr>
          <w:rFonts w:asciiTheme="minorHAnsi" w:hAnsiTheme="minorHAnsi" w:cstheme="minorHAnsi"/>
          <w:sz w:val="24"/>
          <w:szCs w:val="24"/>
        </w:rPr>
        <w:t>Applicable i</w:t>
      </w:r>
      <w:r w:rsidR="00783746">
        <w:rPr>
          <w:rFonts w:asciiTheme="minorHAnsi" w:hAnsiTheme="minorHAnsi" w:cstheme="minorHAnsi"/>
          <w:sz w:val="24"/>
          <w:szCs w:val="24"/>
        </w:rPr>
        <w:t xml:space="preserve">ndustry terminology </w:t>
      </w:r>
      <w:r w:rsidR="005F347A">
        <w:rPr>
          <w:rFonts w:asciiTheme="minorHAnsi" w:hAnsiTheme="minorHAnsi" w:cstheme="minorHAnsi"/>
          <w:sz w:val="24"/>
          <w:szCs w:val="24"/>
        </w:rPr>
        <w:t>includes the following:</w:t>
      </w:r>
    </w:p>
    <w:p w14:paraId="3DBE2929" w14:textId="5FD97EF1" w:rsidR="00783746" w:rsidRDefault="00BA4251" w:rsidP="00BF167A">
      <w:pPr>
        <w:pStyle w:val="HTMLPreformatted"/>
        <w:rPr>
          <w:rFonts w:asciiTheme="minorHAnsi" w:hAnsiTheme="minorHAnsi" w:cstheme="minorHAnsi"/>
          <w:sz w:val="24"/>
          <w:szCs w:val="24"/>
        </w:rPr>
      </w:pPr>
      <w:r>
        <w:rPr>
          <w:rFonts w:asciiTheme="minorHAnsi" w:hAnsiTheme="minorHAnsi" w:cstheme="minorHAnsi"/>
          <w:b/>
          <w:sz w:val="24"/>
          <w:szCs w:val="24"/>
        </w:rPr>
        <w:t>Heat Rate</w:t>
      </w:r>
      <w:r w:rsidR="005F347A" w:rsidRPr="00BA4251">
        <w:rPr>
          <w:rFonts w:asciiTheme="minorHAnsi" w:hAnsiTheme="minorHAnsi" w:cstheme="minorHAnsi"/>
          <w:b/>
          <w:sz w:val="24"/>
          <w:szCs w:val="24"/>
        </w:rPr>
        <w:t>:</w:t>
      </w:r>
      <w:r w:rsidR="00783746" w:rsidRPr="00BA4251">
        <w:rPr>
          <w:rFonts w:asciiTheme="minorHAnsi" w:hAnsiTheme="minorHAnsi" w:cstheme="minorHAnsi"/>
          <w:sz w:val="24"/>
          <w:szCs w:val="24"/>
        </w:rPr>
        <w:t xml:space="preserve"> </w:t>
      </w:r>
      <w:r w:rsidR="005F347A" w:rsidRPr="00BA4251">
        <w:rPr>
          <w:rFonts w:asciiTheme="minorHAnsi" w:hAnsiTheme="minorHAnsi" w:cstheme="minorHAnsi"/>
          <w:sz w:val="24"/>
          <w:szCs w:val="24"/>
        </w:rPr>
        <w:t xml:space="preserve">Heat Rate is </w:t>
      </w:r>
      <w:r w:rsidR="00DB1482">
        <w:rPr>
          <w:rFonts w:asciiTheme="minorHAnsi" w:hAnsiTheme="minorHAnsi" w:cstheme="minorHAnsi"/>
          <w:sz w:val="24"/>
          <w:szCs w:val="24"/>
        </w:rPr>
        <w:t>the amount of energy used to produc</w:t>
      </w:r>
      <w:r w:rsidR="00ED743E">
        <w:rPr>
          <w:rFonts w:asciiTheme="minorHAnsi" w:hAnsiTheme="minorHAnsi" w:cstheme="minorHAnsi"/>
          <w:sz w:val="24"/>
          <w:szCs w:val="24"/>
        </w:rPr>
        <w:t>e</w:t>
      </w:r>
      <w:r w:rsidR="00DB1482">
        <w:rPr>
          <w:rFonts w:asciiTheme="minorHAnsi" w:hAnsiTheme="minorHAnsi" w:cstheme="minorHAnsi"/>
          <w:sz w:val="24"/>
          <w:szCs w:val="24"/>
        </w:rPr>
        <w:t xml:space="preserve"> 1 kWh</w:t>
      </w:r>
      <w:r w:rsidR="00ED743E">
        <w:rPr>
          <w:rFonts w:asciiTheme="minorHAnsi" w:hAnsiTheme="minorHAnsi" w:cstheme="minorHAnsi"/>
          <w:sz w:val="24"/>
          <w:szCs w:val="24"/>
        </w:rPr>
        <w:t xml:space="preserve">, used as part of </w:t>
      </w:r>
      <w:r w:rsidR="005F347A" w:rsidRPr="00BA4251">
        <w:rPr>
          <w:rFonts w:asciiTheme="minorHAnsi" w:hAnsiTheme="minorHAnsi" w:cstheme="minorHAnsi"/>
          <w:sz w:val="24"/>
          <w:szCs w:val="24"/>
        </w:rPr>
        <w:t xml:space="preserve">an expression of the conversion efficiency of </w:t>
      </w:r>
      <w:r w:rsidR="00DB1482">
        <w:rPr>
          <w:rFonts w:asciiTheme="minorHAnsi" w:hAnsiTheme="minorHAnsi" w:cstheme="minorHAnsi"/>
          <w:sz w:val="24"/>
          <w:szCs w:val="24"/>
        </w:rPr>
        <w:t xml:space="preserve">electrical </w:t>
      </w:r>
      <w:r w:rsidR="005F347A" w:rsidRPr="00BA4251">
        <w:rPr>
          <w:rFonts w:asciiTheme="minorHAnsi" w:hAnsiTheme="minorHAnsi" w:cstheme="minorHAnsi"/>
          <w:sz w:val="24"/>
          <w:szCs w:val="24"/>
        </w:rPr>
        <w:t>power generating engines</w:t>
      </w:r>
      <w:r w:rsidR="00994FA0">
        <w:rPr>
          <w:rFonts w:asciiTheme="minorHAnsi" w:hAnsiTheme="minorHAnsi" w:cstheme="minorHAnsi"/>
          <w:sz w:val="24"/>
          <w:szCs w:val="24"/>
        </w:rPr>
        <w:t xml:space="preserve"> or power plants to convert fuel into heat or </w:t>
      </w:r>
      <w:r w:rsidR="00DB1482">
        <w:rPr>
          <w:rFonts w:asciiTheme="minorHAnsi" w:hAnsiTheme="minorHAnsi" w:cstheme="minorHAnsi"/>
          <w:sz w:val="24"/>
          <w:szCs w:val="24"/>
        </w:rPr>
        <w:t>electricity</w:t>
      </w:r>
      <w:r w:rsidR="005F347A" w:rsidRPr="00BA4251">
        <w:rPr>
          <w:rFonts w:asciiTheme="minorHAnsi" w:hAnsiTheme="minorHAnsi" w:cstheme="minorHAnsi"/>
          <w:sz w:val="24"/>
          <w:szCs w:val="24"/>
        </w:rPr>
        <w:t xml:space="preserve">. The typical unit for this is </w:t>
      </w:r>
      <w:r w:rsidR="00DB1482">
        <w:rPr>
          <w:rFonts w:asciiTheme="minorHAnsi" w:hAnsiTheme="minorHAnsi" w:cstheme="minorHAnsi"/>
          <w:sz w:val="24"/>
          <w:szCs w:val="24"/>
        </w:rPr>
        <w:t>3</w:t>
      </w:r>
      <w:r w:rsidR="00ED743E">
        <w:rPr>
          <w:rFonts w:asciiTheme="minorHAnsi" w:hAnsiTheme="minorHAnsi" w:cstheme="minorHAnsi"/>
          <w:sz w:val="24"/>
          <w:szCs w:val="24"/>
        </w:rPr>
        <w:t>,</w:t>
      </w:r>
      <w:r w:rsidR="00DB1482">
        <w:rPr>
          <w:rFonts w:asciiTheme="minorHAnsi" w:hAnsiTheme="minorHAnsi" w:cstheme="minorHAnsi"/>
          <w:sz w:val="24"/>
          <w:szCs w:val="24"/>
        </w:rPr>
        <w:t xml:space="preserve">412 </w:t>
      </w:r>
      <w:r w:rsidR="005F347A" w:rsidRPr="00BA4251">
        <w:rPr>
          <w:rFonts w:asciiTheme="minorHAnsi" w:hAnsiTheme="minorHAnsi" w:cstheme="minorHAnsi"/>
          <w:sz w:val="24"/>
          <w:szCs w:val="24"/>
        </w:rPr>
        <w:t>Btu/kWh</w:t>
      </w:r>
      <w:r w:rsidR="009333BE" w:rsidRPr="00BA4251">
        <w:rPr>
          <w:rFonts w:asciiTheme="minorHAnsi" w:hAnsiTheme="minorHAnsi" w:cstheme="minorHAnsi"/>
          <w:sz w:val="24"/>
          <w:szCs w:val="24"/>
        </w:rPr>
        <w:t>, or British Thermal Units per kilowatt hour</w:t>
      </w:r>
      <w:r w:rsidR="009333BE">
        <w:rPr>
          <w:rFonts w:asciiTheme="minorHAnsi" w:hAnsiTheme="minorHAnsi" w:cstheme="minorHAnsi"/>
          <w:sz w:val="24"/>
          <w:szCs w:val="24"/>
        </w:rPr>
        <w:t>,</w:t>
      </w:r>
      <w:r w:rsidR="005E285E">
        <w:rPr>
          <w:rFonts w:asciiTheme="minorHAnsi" w:hAnsiTheme="minorHAnsi" w:cstheme="minorHAnsi"/>
          <w:sz w:val="24"/>
          <w:szCs w:val="24"/>
        </w:rPr>
        <w:t xml:space="preserve"> for a fully efficient plant</w:t>
      </w:r>
      <w:r w:rsidR="005F347A" w:rsidRPr="00BA4251">
        <w:rPr>
          <w:rFonts w:asciiTheme="minorHAnsi" w:hAnsiTheme="minorHAnsi" w:cstheme="minorHAnsi"/>
          <w:sz w:val="24"/>
          <w:szCs w:val="24"/>
        </w:rPr>
        <w:t xml:space="preserve">. For example, </w:t>
      </w:r>
      <w:r w:rsidR="00DB1482">
        <w:rPr>
          <w:rFonts w:asciiTheme="minorHAnsi" w:hAnsiTheme="minorHAnsi" w:cstheme="minorHAnsi"/>
          <w:sz w:val="24"/>
          <w:szCs w:val="24"/>
        </w:rPr>
        <w:t xml:space="preserve">if the </w:t>
      </w:r>
      <w:r w:rsidR="00ED743E">
        <w:rPr>
          <w:rFonts w:asciiTheme="minorHAnsi" w:hAnsiTheme="minorHAnsi" w:cstheme="minorHAnsi"/>
          <w:sz w:val="24"/>
          <w:szCs w:val="24"/>
        </w:rPr>
        <w:t xml:space="preserve">plant's </w:t>
      </w:r>
      <w:r w:rsidR="00DB1482">
        <w:rPr>
          <w:rFonts w:asciiTheme="minorHAnsi" w:hAnsiTheme="minorHAnsi" w:cstheme="minorHAnsi"/>
          <w:sz w:val="24"/>
          <w:szCs w:val="24"/>
        </w:rPr>
        <w:t xml:space="preserve">heat rate is </w:t>
      </w:r>
      <w:r w:rsidR="005F347A" w:rsidRPr="00BA4251">
        <w:rPr>
          <w:rFonts w:asciiTheme="minorHAnsi" w:hAnsiTheme="minorHAnsi" w:cstheme="minorHAnsi"/>
          <w:sz w:val="24"/>
          <w:szCs w:val="24"/>
        </w:rPr>
        <w:t xml:space="preserve">8,000 Btu/kWh </w:t>
      </w:r>
      <w:r w:rsidR="00ED743E">
        <w:rPr>
          <w:rFonts w:asciiTheme="minorHAnsi" w:hAnsiTheme="minorHAnsi" w:cstheme="minorHAnsi"/>
          <w:sz w:val="24"/>
          <w:szCs w:val="24"/>
        </w:rPr>
        <w:t xml:space="preserve">this </w:t>
      </w:r>
      <w:r w:rsidR="005F347A" w:rsidRPr="00BA4251">
        <w:rPr>
          <w:rFonts w:asciiTheme="minorHAnsi" w:hAnsiTheme="minorHAnsi" w:cstheme="minorHAnsi"/>
          <w:sz w:val="24"/>
          <w:szCs w:val="24"/>
        </w:rPr>
        <w:t xml:space="preserve">means that </w:t>
      </w:r>
      <w:r w:rsidR="00DB1482">
        <w:rPr>
          <w:rFonts w:asciiTheme="minorHAnsi" w:hAnsiTheme="minorHAnsi" w:cstheme="minorHAnsi"/>
          <w:sz w:val="24"/>
          <w:szCs w:val="24"/>
        </w:rPr>
        <w:t xml:space="preserve">the plant is 43% efficient - taking 3,412 </w:t>
      </w:r>
      <w:r w:rsidR="00ED743E">
        <w:rPr>
          <w:rFonts w:asciiTheme="minorHAnsi" w:hAnsiTheme="minorHAnsi" w:cstheme="minorHAnsi"/>
          <w:sz w:val="24"/>
          <w:szCs w:val="24"/>
        </w:rPr>
        <w:t xml:space="preserve">Btu </w:t>
      </w:r>
      <w:r w:rsidR="00DB1482">
        <w:rPr>
          <w:rFonts w:asciiTheme="minorHAnsi" w:hAnsiTheme="minorHAnsi" w:cstheme="minorHAnsi"/>
          <w:sz w:val="24"/>
          <w:szCs w:val="24"/>
        </w:rPr>
        <w:t xml:space="preserve">divided by </w:t>
      </w:r>
      <w:r w:rsidR="005F347A" w:rsidRPr="00BA4251">
        <w:rPr>
          <w:rFonts w:asciiTheme="minorHAnsi" w:hAnsiTheme="minorHAnsi" w:cstheme="minorHAnsi"/>
          <w:sz w:val="24"/>
          <w:szCs w:val="24"/>
        </w:rPr>
        <w:t>8,000 Btu of heat energy</w:t>
      </w:r>
      <w:r w:rsidR="009333BE">
        <w:rPr>
          <w:rFonts w:asciiTheme="minorHAnsi" w:hAnsiTheme="minorHAnsi" w:cstheme="minorHAnsi"/>
          <w:sz w:val="24"/>
          <w:szCs w:val="24"/>
        </w:rPr>
        <w:t xml:space="preserve"> </w:t>
      </w:r>
      <w:r w:rsidR="00DB1482">
        <w:rPr>
          <w:rFonts w:asciiTheme="minorHAnsi" w:hAnsiTheme="minorHAnsi" w:cstheme="minorHAnsi"/>
          <w:sz w:val="24"/>
          <w:szCs w:val="24"/>
        </w:rPr>
        <w:t>to produce</w:t>
      </w:r>
      <w:r w:rsidR="005F347A" w:rsidRPr="00BA4251">
        <w:rPr>
          <w:rFonts w:asciiTheme="minorHAnsi" w:hAnsiTheme="minorHAnsi" w:cstheme="minorHAnsi"/>
          <w:sz w:val="24"/>
          <w:szCs w:val="24"/>
        </w:rPr>
        <w:t xml:space="preserve"> 1 kWh of electricity</w:t>
      </w:r>
      <w:r w:rsidR="00D6077C" w:rsidRPr="00D6077C">
        <w:rPr>
          <w:rFonts w:asciiTheme="minorHAnsi" w:hAnsiTheme="minorHAnsi" w:cstheme="minorHAnsi"/>
          <w:sz w:val="24"/>
          <w:szCs w:val="24"/>
        </w:rPr>
        <w:t xml:space="preserve"> </w:t>
      </w:r>
      <w:r w:rsidR="00094E8B">
        <w:rPr>
          <w:rFonts w:asciiTheme="minorHAnsi" w:hAnsiTheme="minorHAnsi" w:cstheme="minorHAnsi"/>
          <w:sz w:val="24"/>
          <w:szCs w:val="24"/>
        </w:rPr>
        <w:t xml:space="preserve">(source </w:t>
      </w:r>
      <w:hyperlink r:id="rId11" w:history="1">
        <w:r w:rsidR="00D6077C" w:rsidRPr="00BF167A">
          <w:rPr>
            <w:rStyle w:val="Hyperlink"/>
            <w:rFonts w:asciiTheme="minorHAnsi" w:hAnsiTheme="minorHAnsi" w:cstheme="minorHAnsi"/>
            <w:sz w:val="24"/>
            <w:szCs w:val="24"/>
          </w:rPr>
          <w:t>https://www.eia.gov/tools/faqs/faq.php?id=107&amp;t=3</w:t>
        </w:r>
      </w:hyperlink>
      <w:r w:rsidR="00094E8B">
        <w:rPr>
          <w:rFonts w:asciiTheme="minorHAnsi" w:hAnsiTheme="minorHAnsi" w:cstheme="minorHAnsi"/>
          <w:sz w:val="24"/>
          <w:szCs w:val="24"/>
        </w:rPr>
        <w:t>)</w:t>
      </w:r>
      <w:r w:rsidR="005F347A" w:rsidRPr="00D6077C">
        <w:rPr>
          <w:rFonts w:asciiTheme="minorHAnsi" w:hAnsiTheme="minorHAnsi" w:cstheme="minorHAnsi"/>
          <w:sz w:val="24"/>
          <w:szCs w:val="24"/>
        </w:rPr>
        <w:t>.</w:t>
      </w:r>
    </w:p>
    <w:p w14:paraId="181A77C4" w14:textId="77777777" w:rsidR="00094E8B" w:rsidRPr="00D6077C" w:rsidRDefault="00094E8B" w:rsidP="00BF167A">
      <w:pPr>
        <w:pStyle w:val="HTMLPreformatted"/>
        <w:rPr>
          <w:rFonts w:asciiTheme="minorHAnsi" w:hAnsiTheme="minorHAnsi" w:cstheme="minorHAnsi"/>
          <w:sz w:val="24"/>
          <w:szCs w:val="24"/>
        </w:rPr>
      </w:pPr>
    </w:p>
    <w:p w14:paraId="6AB2B7E5" w14:textId="35E7CD47" w:rsidR="00783746" w:rsidRDefault="00783746" w:rsidP="00BA4251">
      <w:pPr>
        <w:pStyle w:val="HTMLPreformatted"/>
        <w:numPr>
          <w:ilvl w:val="0"/>
          <w:numId w:val="8"/>
        </w:numPr>
        <w:rPr>
          <w:rFonts w:asciiTheme="minorHAnsi" w:hAnsiTheme="minorHAnsi" w:cstheme="minorHAnsi"/>
          <w:sz w:val="24"/>
          <w:szCs w:val="24"/>
        </w:rPr>
      </w:pPr>
      <w:r w:rsidRPr="00BA4251">
        <w:rPr>
          <w:rFonts w:asciiTheme="minorHAnsi" w:hAnsiTheme="minorHAnsi" w:cstheme="minorHAnsi"/>
          <w:b/>
          <w:sz w:val="24"/>
          <w:szCs w:val="24"/>
        </w:rPr>
        <w:t>BTUs per Kilowatt Hour of Electricity</w:t>
      </w:r>
      <w:r w:rsidR="005F347A">
        <w:rPr>
          <w:rFonts w:asciiTheme="minorHAnsi" w:hAnsiTheme="minorHAnsi" w:cstheme="minorHAnsi"/>
          <w:b/>
          <w:sz w:val="24"/>
          <w:szCs w:val="24"/>
        </w:rPr>
        <w:t>:</w:t>
      </w:r>
      <w:r>
        <w:rPr>
          <w:rFonts w:asciiTheme="minorHAnsi" w:hAnsiTheme="minorHAnsi" w:cstheme="minorHAnsi"/>
          <w:sz w:val="24"/>
          <w:szCs w:val="24"/>
        </w:rPr>
        <w:t xml:space="preserve"> This is the </w:t>
      </w:r>
      <w:r w:rsidR="005F347A">
        <w:rPr>
          <w:rFonts w:asciiTheme="minorHAnsi" w:hAnsiTheme="minorHAnsi" w:cstheme="minorHAnsi"/>
          <w:sz w:val="24"/>
          <w:szCs w:val="24"/>
        </w:rPr>
        <w:t xml:space="preserve">ratio used </w:t>
      </w:r>
      <w:r>
        <w:rPr>
          <w:rFonts w:asciiTheme="minorHAnsi" w:hAnsiTheme="minorHAnsi" w:cstheme="minorHAnsi"/>
          <w:sz w:val="24"/>
          <w:szCs w:val="24"/>
        </w:rPr>
        <w:t xml:space="preserve">most often in the energy </w:t>
      </w:r>
      <w:r w:rsidR="00094E8B">
        <w:rPr>
          <w:rFonts w:asciiTheme="minorHAnsi" w:hAnsiTheme="minorHAnsi" w:cstheme="minorHAnsi"/>
          <w:sz w:val="24"/>
          <w:szCs w:val="24"/>
        </w:rPr>
        <w:t xml:space="preserve">industry </w:t>
      </w:r>
      <w:r>
        <w:rPr>
          <w:rFonts w:asciiTheme="minorHAnsi" w:hAnsiTheme="minorHAnsi" w:cstheme="minorHAnsi"/>
          <w:sz w:val="24"/>
          <w:szCs w:val="24"/>
        </w:rPr>
        <w:t>sector</w:t>
      </w:r>
      <w:r w:rsidR="005F347A">
        <w:rPr>
          <w:rFonts w:asciiTheme="minorHAnsi" w:hAnsiTheme="minorHAnsi" w:cstheme="minorHAnsi"/>
          <w:sz w:val="24"/>
          <w:szCs w:val="24"/>
        </w:rPr>
        <w:t xml:space="preserve"> – Btu/kWh or </w:t>
      </w:r>
      <w:r>
        <w:rPr>
          <w:rFonts w:asciiTheme="minorHAnsi" w:hAnsiTheme="minorHAnsi" w:cstheme="minorHAnsi"/>
          <w:sz w:val="24"/>
          <w:szCs w:val="24"/>
        </w:rPr>
        <w:t xml:space="preserve">1:1000 </w:t>
      </w:r>
      <w:r w:rsidR="00BA4251">
        <w:rPr>
          <w:rFonts w:asciiTheme="minorHAnsi" w:hAnsiTheme="minorHAnsi" w:cstheme="minorHAnsi"/>
          <w:sz w:val="24"/>
          <w:szCs w:val="24"/>
        </w:rPr>
        <w:t xml:space="preserve">with </w:t>
      </w:r>
      <w:r>
        <w:rPr>
          <w:rFonts w:asciiTheme="minorHAnsi" w:hAnsiTheme="minorHAnsi" w:cstheme="minorHAnsi"/>
          <w:sz w:val="24"/>
          <w:szCs w:val="24"/>
        </w:rPr>
        <w:t xml:space="preserve">a fixed </w:t>
      </w:r>
      <w:r w:rsidR="00BA4251">
        <w:rPr>
          <w:rFonts w:asciiTheme="minorHAnsi" w:hAnsiTheme="minorHAnsi" w:cstheme="minorHAnsi"/>
          <w:sz w:val="24"/>
          <w:szCs w:val="24"/>
        </w:rPr>
        <w:t xml:space="preserve">standard </w:t>
      </w:r>
      <w:r>
        <w:rPr>
          <w:rFonts w:asciiTheme="minorHAnsi" w:hAnsiTheme="minorHAnsi" w:cstheme="minorHAnsi"/>
          <w:sz w:val="24"/>
          <w:szCs w:val="24"/>
        </w:rPr>
        <w:t>value of 3412.14163312794</w:t>
      </w:r>
      <w:r w:rsidR="005F347A">
        <w:rPr>
          <w:rFonts w:asciiTheme="minorHAnsi" w:hAnsiTheme="minorHAnsi" w:cstheme="minorHAnsi"/>
          <w:sz w:val="24"/>
          <w:szCs w:val="24"/>
        </w:rPr>
        <w:t xml:space="preserve"> BTUs </w:t>
      </w:r>
      <w:r w:rsidR="00994FA0">
        <w:rPr>
          <w:rFonts w:asciiTheme="minorHAnsi" w:hAnsiTheme="minorHAnsi" w:cstheme="minorHAnsi"/>
          <w:sz w:val="24"/>
          <w:szCs w:val="24"/>
        </w:rPr>
        <w:t>(</w:t>
      </w:r>
      <w:hyperlink r:id="rId12" w:history="1">
        <w:r w:rsidR="005F347A" w:rsidRPr="007D7810">
          <w:rPr>
            <w:rStyle w:val="Hyperlink"/>
            <w:rFonts w:asciiTheme="minorHAnsi" w:hAnsiTheme="minorHAnsi" w:cstheme="minorHAnsi"/>
            <w:sz w:val="24"/>
            <w:szCs w:val="24"/>
          </w:rPr>
          <w:t>https://www.rapidtables.com/convert/energy/kWh_to_BTU.html</w:t>
        </w:r>
      </w:hyperlink>
      <w:r w:rsidR="00994FA0">
        <w:rPr>
          <w:rFonts w:asciiTheme="minorHAnsi" w:hAnsiTheme="minorHAnsi" w:cstheme="minorHAnsi"/>
          <w:sz w:val="24"/>
          <w:szCs w:val="24"/>
        </w:rPr>
        <w:t>)</w:t>
      </w:r>
      <w:r w:rsidR="005F347A">
        <w:rPr>
          <w:rFonts w:asciiTheme="minorHAnsi" w:hAnsiTheme="minorHAnsi" w:cstheme="minorHAnsi"/>
          <w:sz w:val="24"/>
          <w:szCs w:val="24"/>
        </w:rPr>
        <w:t>.</w:t>
      </w:r>
    </w:p>
    <w:p w14:paraId="7B9FB5BA" w14:textId="1C34370B" w:rsidR="00783746" w:rsidRDefault="00783746" w:rsidP="005F347A">
      <w:pPr>
        <w:pStyle w:val="HTMLPreformatted"/>
        <w:numPr>
          <w:ilvl w:val="0"/>
          <w:numId w:val="8"/>
        </w:numPr>
        <w:rPr>
          <w:rFonts w:asciiTheme="minorHAnsi" w:hAnsiTheme="minorHAnsi" w:cstheme="minorHAnsi"/>
          <w:sz w:val="24"/>
          <w:szCs w:val="24"/>
        </w:rPr>
      </w:pPr>
      <w:r w:rsidRPr="00BF167A">
        <w:rPr>
          <w:rFonts w:asciiTheme="minorHAnsi" w:hAnsiTheme="minorHAnsi" w:cstheme="minorHAnsi"/>
          <w:b/>
          <w:sz w:val="24"/>
          <w:szCs w:val="24"/>
        </w:rPr>
        <w:lastRenderedPageBreak/>
        <w:t>Million BTUs per Megawatt Hour of Electricity</w:t>
      </w:r>
      <w:r w:rsidR="005F347A">
        <w:rPr>
          <w:rFonts w:asciiTheme="minorHAnsi" w:hAnsiTheme="minorHAnsi" w:cstheme="minorHAnsi"/>
          <w:b/>
          <w:sz w:val="24"/>
          <w:szCs w:val="24"/>
        </w:rPr>
        <w:t>:</w:t>
      </w:r>
      <w:r>
        <w:rPr>
          <w:rFonts w:asciiTheme="minorHAnsi" w:hAnsiTheme="minorHAnsi" w:cstheme="minorHAnsi"/>
          <w:sz w:val="24"/>
          <w:szCs w:val="24"/>
        </w:rPr>
        <w:t xml:space="preserve"> </w:t>
      </w:r>
      <w:r w:rsidR="00094E8B">
        <w:rPr>
          <w:rFonts w:asciiTheme="minorHAnsi" w:hAnsiTheme="minorHAnsi" w:cstheme="minorHAnsi"/>
          <w:sz w:val="24"/>
          <w:szCs w:val="24"/>
        </w:rPr>
        <w:t>In c</w:t>
      </w:r>
      <w:r w:rsidR="005F347A">
        <w:rPr>
          <w:rFonts w:asciiTheme="minorHAnsi" w:hAnsiTheme="minorHAnsi" w:cstheme="minorHAnsi"/>
          <w:sz w:val="24"/>
          <w:szCs w:val="24"/>
        </w:rPr>
        <w:t>ommodities trad</w:t>
      </w:r>
      <w:r w:rsidR="00BA4251">
        <w:rPr>
          <w:rFonts w:asciiTheme="minorHAnsi" w:hAnsiTheme="minorHAnsi" w:cstheme="minorHAnsi"/>
          <w:sz w:val="24"/>
          <w:szCs w:val="24"/>
        </w:rPr>
        <w:t>e</w:t>
      </w:r>
      <w:r w:rsidR="005F347A">
        <w:rPr>
          <w:rFonts w:asciiTheme="minorHAnsi" w:hAnsiTheme="minorHAnsi" w:cstheme="minorHAnsi"/>
          <w:sz w:val="24"/>
          <w:szCs w:val="24"/>
        </w:rPr>
        <w:t xml:space="preserve"> contracts this ratio </w:t>
      </w:r>
      <w:r w:rsidR="00094E8B">
        <w:rPr>
          <w:rFonts w:asciiTheme="minorHAnsi" w:hAnsiTheme="minorHAnsi" w:cstheme="minorHAnsi"/>
          <w:sz w:val="24"/>
          <w:szCs w:val="24"/>
        </w:rPr>
        <w:t xml:space="preserve">is </w:t>
      </w:r>
      <w:r w:rsidR="005F347A">
        <w:rPr>
          <w:rFonts w:asciiTheme="minorHAnsi" w:hAnsiTheme="minorHAnsi" w:cstheme="minorHAnsi"/>
          <w:sz w:val="24"/>
          <w:szCs w:val="24"/>
        </w:rPr>
        <w:t xml:space="preserve">most often </w:t>
      </w:r>
      <w:r w:rsidR="00094E8B">
        <w:rPr>
          <w:rFonts w:asciiTheme="minorHAnsi" w:hAnsiTheme="minorHAnsi" w:cstheme="minorHAnsi"/>
          <w:sz w:val="24"/>
          <w:szCs w:val="24"/>
        </w:rPr>
        <w:t xml:space="preserve">used </w:t>
      </w:r>
      <w:r w:rsidR="005F347A">
        <w:rPr>
          <w:rFonts w:asciiTheme="minorHAnsi" w:hAnsiTheme="minorHAnsi" w:cstheme="minorHAnsi"/>
          <w:sz w:val="24"/>
          <w:szCs w:val="24"/>
        </w:rPr>
        <w:t xml:space="preserve">– MMBtu/MWh 1:1 </w:t>
      </w:r>
      <w:r w:rsidR="00BA4251">
        <w:rPr>
          <w:rFonts w:asciiTheme="minorHAnsi" w:hAnsiTheme="minorHAnsi" w:cstheme="minorHAnsi"/>
          <w:sz w:val="24"/>
          <w:szCs w:val="24"/>
        </w:rPr>
        <w:t xml:space="preserve">with </w:t>
      </w:r>
      <w:r w:rsidR="005F347A">
        <w:rPr>
          <w:rFonts w:asciiTheme="minorHAnsi" w:hAnsiTheme="minorHAnsi" w:cstheme="minorHAnsi"/>
          <w:sz w:val="24"/>
          <w:szCs w:val="24"/>
        </w:rPr>
        <w:t xml:space="preserve">a fixed </w:t>
      </w:r>
      <w:r w:rsidR="00BA4251">
        <w:rPr>
          <w:rFonts w:asciiTheme="minorHAnsi" w:hAnsiTheme="minorHAnsi" w:cstheme="minorHAnsi"/>
          <w:sz w:val="24"/>
          <w:szCs w:val="24"/>
        </w:rPr>
        <w:t xml:space="preserve">standard </w:t>
      </w:r>
      <w:r w:rsidR="005F347A">
        <w:rPr>
          <w:rFonts w:asciiTheme="minorHAnsi" w:hAnsiTheme="minorHAnsi" w:cstheme="minorHAnsi"/>
          <w:sz w:val="24"/>
          <w:szCs w:val="24"/>
        </w:rPr>
        <w:t xml:space="preserve">value of 3.41214163312794 </w:t>
      </w:r>
      <w:r w:rsidR="00BA4251">
        <w:rPr>
          <w:rFonts w:asciiTheme="minorHAnsi" w:hAnsiTheme="minorHAnsi" w:cstheme="minorHAnsi"/>
          <w:sz w:val="24"/>
          <w:szCs w:val="24"/>
        </w:rPr>
        <w:t xml:space="preserve">million </w:t>
      </w:r>
      <w:r w:rsidR="005F347A">
        <w:rPr>
          <w:rFonts w:asciiTheme="minorHAnsi" w:hAnsiTheme="minorHAnsi" w:cstheme="minorHAnsi"/>
          <w:sz w:val="24"/>
          <w:szCs w:val="24"/>
        </w:rPr>
        <w:t>BTUs.</w:t>
      </w:r>
    </w:p>
    <w:p w14:paraId="017489B1" w14:textId="77777777" w:rsidR="00094E8B" w:rsidRDefault="00094E8B" w:rsidP="009530E9">
      <w:pPr>
        <w:pStyle w:val="HTMLPreformatted"/>
        <w:rPr>
          <w:rFonts w:asciiTheme="minorHAnsi" w:hAnsiTheme="minorHAnsi" w:cstheme="minorHAnsi"/>
          <w:sz w:val="24"/>
          <w:szCs w:val="24"/>
        </w:rPr>
      </w:pPr>
    </w:p>
    <w:p w14:paraId="4FF33EAC" w14:textId="6AFDF05B" w:rsidR="00783746" w:rsidRDefault="00BA4251" w:rsidP="009530E9">
      <w:pPr>
        <w:pStyle w:val="HTMLPreformatted"/>
        <w:rPr>
          <w:rFonts w:asciiTheme="minorHAnsi" w:hAnsiTheme="minorHAnsi" w:cstheme="minorHAnsi"/>
          <w:sz w:val="24"/>
          <w:szCs w:val="24"/>
        </w:rPr>
      </w:pPr>
      <w:r w:rsidRPr="00BF167A">
        <w:rPr>
          <w:rFonts w:asciiTheme="minorHAnsi" w:hAnsiTheme="minorHAnsi" w:cstheme="minorHAnsi"/>
          <w:sz w:val="24"/>
          <w:szCs w:val="24"/>
        </w:rPr>
        <w:t xml:space="preserve">For the purpose of this proposal we have </w:t>
      </w:r>
      <w:r w:rsidR="009333BE">
        <w:rPr>
          <w:rFonts w:asciiTheme="minorHAnsi" w:hAnsiTheme="minorHAnsi" w:cstheme="minorHAnsi"/>
          <w:sz w:val="24"/>
          <w:szCs w:val="24"/>
        </w:rPr>
        <w:t>proposed</w:t>
      </w:r>
      <w:r w:rsidRPr="00BF167A">
        <w:rPr>
          <w:rFonts w:asciiTheme="minorHAnsi" w:hAnsiTheme="minorHAnsi" w:cstheme="minorHAnsi"/>
          <w:sz w:val="24"/>
          <w:szCs w:val="24"/>
        </w:rPr>
        <w:t xml:space="preserve"> the </w:t>
      </w:r>
      <w:r>
        <w:rPr>
          <w:rFonts w:asciiTheme="minorHAnsi" w:hAnsiTheme="minorHAnsi" w:cstheme="minorHAnsi"/>
          <w:sz w:val="24"/>
          <w:szCs w:val="24"/>
        </w:rPr>
        <w:t xml:space="preserve">acronyms </w:t>
      </w:r>
      <w:proofErr w:type="spellStart"/>
      <w:r w:rsidR="00E22A62">
        <w:rPr>
          <w:rFonts w:asciiTheme="minorHAnsi" w:hAnsiTheme="minorHAnsi" w:cstheme="minorHAnsi"/>
          <w:sz w:val="24"/>
          <w:szCs w:val="24"/>
        </w:rPr>
        <w:t>k</w:t>
      </w:r>
      <w:r w:rsidRPr="00BF167A">
        <w:rPr>
          <w:rFonts w:asciiTheme="minorHAnsi" w:hAnsiTheme="minorHAnsi" w:cstheme="minorHAnsi"/>
          <w:sz w:val="24"/>
          <w:szCs w:val="24"/>
        </w:rPr>
        <w:t>HR</w:t>
      </w:r>
      <w:proofErr w:type="spellEnd"/>
      <w:r w:rsidRPr="00BF167A">
        <w:rPr>
          <w:rFonts w:asciiTheme="minorHAnsi" w:hAnsiTheme="minorHAnsi" w:cstheme="minorHAnsi"/>
          <w:sz w:val="24"/>
          <w:szCs w:val="24"/>
        </w:rPr>
        <w:t xml:space="preserve"> (Heat Rate) and MHR (Mega Heat Rate) to the two new enumerations</w:t>
      </w:r>
      <w:r>
        <w:rPr>
          <w:rFonts w:asciiTheme="minorHAnsi" w:hAnsiTheme="minorHAnsi" w:cstheme="minorHAnsi"/>
          <w:sz w:val="24"/>
          <w:szCs w:val="24"/>
        </w:rPr>
        <w:t xml:space="preserve"> respectively.</w:t>
      </w:r>
    </w:p>
    <w:p w14:paraId="26C99C4A" w14:textId="557DA9A9" w:rsidR="00BF2817" w:rsidRPr="00EF18AB" w:rsidRDefault="00BF2817" w:rsidP="00BF2817">
      <w:pPr>
        <w:pStyle w:val="Heading2"/>
      </w:pPr>
      <w:bookmarkStart w:id="14" w:name="_Toc512523850"/>
      <w:r>
        <w:t xml:space="preserve">Trade </w:t>
      </w:r>
      <w:proofErr w:type="gramStart"/>
      <w:r>
        <w:t>At</w:t>
      </w:r>
      <w:proofErr w:type="gramEnd"/>
      <w:r>
        <w:t xml:space="preserve"> Cash Open (TACO) Trades</w:t>
      </w:r>
      <w:bookmarkEnd w:id="14"/>
    </w:p>
    <w:p w14:paraId="0128922C" w14:textId="7C56F462" w:rsidR="009929CD" w:rsidRPr="00183E4D" w:rsidRDefault="005247B3" w:rsidP="009929CD">
      <w:pPr>
        <w:pStyle w:val="HTMLPreformatted"/>
        <w:rPr>
          <w:rFonts w:asciiTheme="minorHAnsi" w:hAnsiTheme="minorHAnsi" w:cstheme="minorHAnsi"/>
          <w:sz w:val="24"/>
          <w:szCs w:val="24"/>
        </w:rPr>
      </w:pPr>
      <w:r>
        <w:rPr>
          <w:rFonts w:asciiTheme="minorHAnsi" w:hAnsiTheme="minorHAnsi" w:cstheme="minorHAnsi"/>
          <w:sz w:val="24"/>
          <w:szCs w:val="24"/>
        </w:rPr>
        <w:t xml:space="preserve">Trade </w:t>
      </w:r>
      <w:proofErr w:type="gramStart"/>
      <w:r>
        <w:rPr>
          <w:rFonts w:asciiTheme="minorHAnsi" w:hAnsiTheme="minorHAnsi" w:cstheme="minorHAnsi"/>
          <w:sz w:val="24"/>
          <w:szCs w:val="24"/>
        </w:rPr>
        <w:t>At</w:t>
      </w:r>
      <w:proofErr w:type="gramEnd"/>
      <w:r>
        <w:rPr>
          <w:rFonts w:asciiTheme="minorHAnsi" w:hAnsiTheme="minorHAnsi" w:cstheme="minorHAnsi"/>
          <w:sz w:val="24"/>
          <w:szCs w:val="24"/>
        </w:rPr>
        <w:t xml:space="preserve"> Cash Open (</w:t>
      </w:r>
      <w:r w:rsidR="006616B7">
        <w:rPr>
          <w:rFonts w:asciiTheme="minorHAnsi" w:hAnsiTheme="minorHAnsi" w:cstheme="minorHAnsi"/>
          <w:sz w:val="24"/>
          <w:szCs w:val="24"/>
        </w:rPr>
        <w:t>TACO</w:t>
      </w:r>
      <w:r>
        <w:rPr>
          <w:rFonts w:asciiTheme="minorHAnsi" w:hAnsiTheme="minorHAnsi" w:cstheme="minorHAnsi"/>
          <w:sz w:val="24"/>
          <w:szCs w:val="24"/>
        </w:rPr>
        <w:t>)</w:t>
      </w:r>
      <w:r w:rsidR="006616B7">
        <w:rPr>
          <w:rFonts w:asciiTheme="minorHAnsi" w:hAnsiTheme="minorHAnsi" w:cstheme="minorHAnsi"/>
          <w:sz w:val="24"/>
          <w:szCs w:val="24"/>
        </w:rPr>
        <w:t xml:space="preserve"> trading on </w:t>
      </w:r>
      <w:r w:rsidR="009929CD">
        <w:rPr>
          <w:rFonts w:asciiTheme="minorHAnsi" w:hAnsiTheme="minorHAnsi" w:cstheme="minorHAnsi"/>
          <w:sz w:val="24"/>
          <w:szCs w:val="24"/>
        </w:rPr>
        <w:t xml:space="preserve">E-Mini S&amp;P </w:t>
      </w:r>
      <w:r w:rsidR="002D0B05">
        <w:rPr>
          <w:rFonts w:asciiTheme="minorHAnsi" w:hAnsiTheme="minorHAnsi" w:cstheme="minorHAnsi"/>
          <w:sz w:val="24"/>
          <w:szCs w:val="24"/>
        </w:rPr>
        <w:t>5</w:t>
      </w:r>
      <w:r w:rsidR="009929CD">
        <w:rPr>
          <w:rFonts w:asciiTheme="minorHAnsi" w:hAnsiTheme="minorHAnsi" w:cstheme="minorHAnsi"/>
          <w:sz w:val="24"/>
          <w:szCs w:val="24"/>
        </w:rPr>
        <w:t xml:space="preserve">00 futures </w:t>
      </w:r>
      <w:r w:rsidR="002D0B05">
        <w:rPr>
          <w:rFonts w:asciiTheme="minorHAnsi" w:hAnsiTheme="minorHAnsi" w:cstheme="minorHAnsi"/>
          <w:sz w:val="24"/>
          <w:szCs w:val="24"/>
        </w:rPr>
        <w:t xml:space="preserve">is </w:t>
      </w:r>
      <w:r w:rsidR="009929CD">
        <w:rPr>
          <w:rFonts w:asciiTheme="minorHAnsi" w:hAnsiTheme="minorHAnsi" w:cstheme="minorHAnsi"/>
          <w:sz w:val="24"/>
          <w:szCs w:val="24"/>
        </w:rPr>
        <w:t xml:space="preserve">similar to </w:t>
      </w:r>
      <w:r w:rsidR="00BF2817" w:rsidRPr="00BF2817">
        <w:rPr>
          <w:rFonts w:asciiTheme="minorHAnsi" w:hAnsiTheme="minorHAnsi" w:cstheme="minorHAnsi"/>
          <w:sz w:val="24"/>
          <w:szCs w:val="24"/>
        </w:rPr>
        <w:t>Basis Trade Index Close (BTIC)</w:t>
      </w:r>
      <w:r w:rsidR="009929CD">
        <w:rPr>
          <w:rFonts w:asciiTheme="minorHAnsi" w:hAnsiTheme="minorHAnsi" w:cstheme="minorHAnsi"/>
          <w:sz w:val="24"/>
          <w:szCs w:val="24"/>
        </w:rPr>
        <w:t xml:space="preserve"> </w:t>
      </w:r>
      <w:r w:rsidR="00183E4D">
        <w:rPr>
          <w:rFonts w:asciiTheme="minorHAnsi" w:hAnsiTheme="minorHAnsi" w:cstheme="minorHAnsi"/>
          <w:sz w:val="24"/>
          <w:szCs w:val="24"/>
        </w:rPr>
        <w:t xml:space="preserve">for equity index futures </w:t>
      </w:r>
      <w:r w:rsidR="009929CD">
        <w:rPr>
          <w:rFonts w:asciiTheme="minorHAnsi" w:hAnsiTheme="minorHAnsi" w:cstheme="minorHAnsi"/>
          <w:sz w:val="24"/>
          <w:szCs w:val="24"/>
        </w:rPr>
        <w:t>but trade</w:t>
      </w:r>
      <w:r w:rsidR="00183E4D">
        <w:rPr>
          <w:rFonts w:asciiTheme="minorHAnsi" w:hAnsiTheme="minorHAnsi" w:cstheme="minorHAnsi"/>
          <w:sz w:val="24"/>
          <w:szCs w:val="24"/>
        </w:rPr>
        <w:t>s</w:t>
      </w:r>
      <w:r w:rsidR="009929CD">
        <w:rPr>
          <w:rFonts w:asciiTheme="minorHAnsi" w:hAnsiTheme="minorHAnsi" w:cstheme="minorHAnsi"/>
          <w:sz w:val="24"/>
          <w:szCs w:val="24"/>
        </w:rPr>
        <w:t xml:space="preserve"> at the cash open price rather than </w:t>
      </w:r>
      <w:r w:rsidR="002D0B05">
        <w:rPr>
          <w:rFonts w:asciiTheme="minorHAnsi" w:hAnsiTheme="minorHAnsi" w:cstheme="minorHAnsi"/>
          <w:sz w:val="24"/>
          <w:szCs w:val="24"/>
        </w:rPr>
        <w:t xml:space="preserve">at </w:t>
      </w:r>
      <w:r w:rsidR="009929CD">
        <w:rPr>
          <w:rFonts w:asciiTheme="minorHAnsi" w:hAnsiTheme="minorHAnsi" w:cstheme="minorHAnsi"/>
          <w:sz w:val="24"/>
          <w:szCs w:val="24"/>
        </w:rPr>
        <w:t>the closing price</w:t>
      </w:r>
      <w:r w:rsidR="00BF2817" w:rsidRPr="00BF2817">
        <w:rPr>
          <w:rFonts w:asciiTheme="minorHAnsi" w:hAnsiTheme="minorHAnsi" w:cstheme="minorHAnsi"/>
          <w:sz w:val="24"/>
          <w:szCs w:val="24"/>
        </w:rPr>
        <w:t>.</w:t>
      </w:r>
      <w:r w:rsidR="009929CD" w:rsidRPr="009929CD">
        <w:t xml:space="preserve"> </w:t>
      </w:r>
      <w:r w:rsidR="009929CD" w:rsidRPr="00183E4D">
        <w:rPr>
          <w:rFonts w:asciiTheme="minorHAnsi" w:hAnsiTheme="minorHAnsi" w:cstheme="minorHAnsi"/>
          <w:sz w:val="24"/>
          <w:szCs w:val="24"/>
        </w:rPr>
        <w:t>For both contracts, execut</w:t>
      </w:r>
      <w:r w:rsidR="002D0B05">
        <w:rPr>
          <w:rFonts w:asciiTheme="minorHAnsi" w:hAnsiTheme="minorHAnsi" w:cstheme="minorHAnsi"/>
          <w:sz w:val="24"/>
          <w:szCs w:val="24"/>
        </w:rPr>
        <w:t>ion is</w:t>
      </w:r>
      <w:r w:rsidR="009929CD" w:rsidRPr="00183E4D">
        <w:rPr>
          <w:rFonts w:asciiTheme="minorHAnsi" w:hAnsiTheme="minorHAnsi" w:cstheme="minorHAnsi"/>
          <w:sz w:val="24"/>
          <w:szCs w:val="24"/>
        </w:rPr>
        <w:t xml:space="preserve"> at a differential price, plus or minus. The final absolute price in the E-Mini S&amp;P 500 future is equal to </w:t>
      </w:r>
      <w:r w:rsidR="002D0B05">
        <w:rPr>
          <w:rFonts w:asciiTheme="minorHAnsi" w:hAnsiTheme="minorHAnsi" w:cstheme="minorHAnsi"/>
          <w:sz w:val="24"/>
          <w:szCs w:val="24"/>
        </w:rPr>
        <w:t xml:space="preserve">the </w:t>
      </w:r>
      <w:r w:rsidR="009929CD" w:rsidRPr="00183E4D">
        <w:rPr>
          <w:rFonts w:asciiTheme="minorHAnsi" w:hAnsiTheme="minorHAnsi" w:cstheme="minorHAnsi"/>
          <w:sz w:val="24"/>
          <w:szCs w:val="24"/>
        </w:rPr>
        <w:t xml:space="preserve">marker price, plus </w:t>
      </w:r>
      <w:r>
        <w:rPr>
          <w:rFonts w:asciiTheme="minorHAnsi" w:hAnsiTheme="minorHAnsi" w:cstheme="minorHAnsi"/>
          <w:sz w:val="24"/>
          <w:szCs w:val="24"/>
        </w:rPr>
        <w:t xml:space="preserve">or minus </w:t>
      </w:r>
      <w:r w:rsidR="009929CD" w:rsidRPr="00183E4D">
        <w:rPr>
          <w:rFonts w:asciiTheme="minorHAnsi" w:hAnsiTheme="minorHAnsi" w:cstheme="minorHAnsi"/>
          <w:sz w:val="24"/>
          <w:szCs w:val="24"/>
        </w:rPr>
        <w:t>the executed differential price. For TACO, the marker price is the special opening quote (SOQ) of the S&amp;P 500 index</w:t>
      </w:r>
      <w:r w:rsidR="00101EB7">
        <w:rPr>
          <w:rFonts w:asciiTheme="minorHAnsi" w:hAnsiTheme="minorHAnsi" w:cstheme="minorHAnsi"/>
          <w:sz w:val="24"/>
          <w:szCs w:val="24"/>
        </w:rPr>
        <w:t xml:space="preserve"> o</w:t>
      </w:r>
      <w:r w:rsidR="000D37EB">
        <w:rPr>
          <w:rFonts w:asciiTheme="minorHAnsi" w:hAnsiTheme="minorHAnsi" w:cstheme="minorHAnsi"/>
          <w:sz w:val="24"/>
          <w:szCs w:val="24"/>
        </w:rPr>
        <w:t>n</w:t>
      </w:r>
      <w:r w:rsidR="00101EB7">
        <w:rPr>
          <w:rFonts w:asciiTheme="minorHAnsi" w:hAnsiTheme="minorHAnsi" w:cstheme="minorHAnsi"/>
          <w:sz w:val="24"/>
          <w:szCs w:val="24"/>
        </w:rPr>
        <w:t xml:space="preserve"> the following business day</w:t>
      </w:r>
      <w:r w:rsidR="009929CD" w:rsidRPr="00183E4D">
        <w:rPr>
          <w:rFonts w:asciiTheme="minorHAnsi" w:hAnsiTheme="minorHAnsi" w:cstheme="minorHAnsi"/>
          <w:sz w:val="24"/>
          <w:szCs w:val="24"/>
        </w:rPr>
        <w:t>.</w:t>
      </w:r>
    </w:p>
    <w:p w14:paraId="67B98B80" w14:textId="77777777" w:rsidR="002D0B05" w:rsidRDefault="002D0B05" w:rsidP="00BF2817">
      <w:pPr>
        <w:pStyle w:val="HTMLPreformatted"/>
        <w:rPr>
          <w:rFonts w:asciiTheme="minorHAnsi" w:hAnsiTheme="minorHAnsi" w:cstheme="minorHAnsi"/>
          <w:sz w:val="24"/>
          <w:szCs w:val="24"/>
        </w:rPr>
      </w:pPr>
    </w:p>
    <w:p w14:paraId="43A8336C" w14:textId="54298F0E" w:rsidR="00BF2817" w:rsidRPr="00BF2817" w:rsidRDefault="009929CD" w:rsidP="00BF2817">
      <w:pPr>
        <w:pStyle w:val="HTMLPreformatted"/>
        <w:rPr>
          <w:rFonts w:asciiTheme="minorHAnsi" w:hAnsiTheme="minorHAnsi" w:cstheme="minorHAnsi"/>
          <w:sz w:val="24"/>
          <w:szCs w:val="24"/>
        </w:rPr>
      </w:pPr>
      <w:r>
        <w:rPr>
          <w:rFonts w:asciiTheme="minorHAnsi" w:hAnsiTheme="minorHAnsi" w:cstheme="minorHAnsi"/>
          <w:sz w:val="24"/>
          <w:szCs w:val="24"/>
        </w:rPr>
        <w:t xml:space="preserve">Pending CFTC regulatory review CME will launch TACO trading on May 13, 2018. </w:t>
      </w:r>
    </w:p>
    <w:p w14:paraId="669DC23C" w14:textId="3B1B0273" w:rsidR="00AE6BF8" w:rsidRDefault="00AE6BF8">
      <w:bookmarkStart w:id="15" w:name="_Toc506185913"/>
      <w:bookmarkStart w:id="16" w:name="_Toc506186356"/>
      <w:bookmarkEnd w:id="15"/>
      <w:bookmarkEnd w:id="16"/>
      <w:r>
        <w:br w:type="page"/>
      </w:r>
    </w:p>
    <w:p w14:paraId="4D3163C5" w14:textId="77777777" w:rsidR="002E7FCD" w:rsidRDefault="002E7FCD" w:rsidP="002E7FCD">
      <w:pPr>
        <w:pStyle w:val="Heading1"/>
      </w:pPr>
      <w:bookmarkStart w:id="17" w:name="_Toc512523851"/>
      <w:r>
        <w:lastRenderedPageBreak/>
        <w:t>Issues and Discussion Points</w:t>
      </w:r>
      <w:bookmarkEnd w:id="17"/>
    </w:p>
    <w:p w14:paraId="17786883" w14:textId="77777777" w:rsidR="00200CE9" w:rsidDel="00200CE9" w:rsidRDefault="00D268D1" w:rsidP="00403113">
      <w:pPr>
        <w:pStyle w:val="BodyText"/>
      </w:pPr>
      <w:r>
        <w:t xml:space="preserve"> </w:t>
      </w:r>
    </w:p>
    <w:tbl>
      <w:tblPr>
        <w:tblW w:w="95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54"/>
        <w:gridCol w:w="2804"/>
        <w:gridCol w:w="1131"/>
        <w:gridCol w:w="1076"/>
        <w:gridCol w:w="4090"/>
      </w:tblGrid>
      <w:tr w:rsidR="00DE09E2" w14:paraId="29D4299D" w14:textId="77777777" w:rsidTr="00807B37">
        <w:trPr>
          <w:cantSplit/>
          <w:tblHeader/>
        </w:trPr>
        <w:tc>
          <w:tcPr>
            <w:tcW w:w="454" w:type="dxa"/>
            <w:tcBorders>
              <w:top w:val="double" w:sz="4" w:space="0" w:color="auto"/>
              <w:left w:val="double" w:sz="4" w:space="0" w:color="auto"/>
              <w:bottom w:val="double" w:sz="4" w:space="0" w:color="auto"/>
              <w:right w:val="single" w:sz="4" w:space="0" w:color="auto"/>
            </w:tcBorders>
            <w:shd w:val="clear" w:color="auto" w:fill="548DD4" w:themeFill="text2" w:themeFillTint="99"/>
          </w:tcPr>
          <w:p w14:paraId="014E1893" w14:textId="77777777" w:rsidR="00200CE9" w:rsidRDefault="00200CE9">
            <w:pPr>
              <w:pStyle w:val="BodyText"/>
              <w:rPr>
                <w:b/>
                <w:color w:val="FFFFFF" w:themeColor="background1"/>
                <w:lang w:val="en-GB" w:eastAsia="en-GB"/>
              </w:rPr>
            </w:pPr>
          </w:p>
        </w:tc>
        <w:tc>
          <w:tcPr>
            <w:tcW w:w="2804" w:type="dxa"/>
            <w:tcBorders>
              <w:top w:val="double" w:sz="4" w:space="0" w:color="auto"/>
              <w:left w:val="single" w:sz="4" w:space="0" w:color="auto"/>
              <w:bottom w:val="double" w:sz="4" w:space="0" w:color="auto"/>
              <w:right w:val="single" w:sz="4" w:space="0" w:color="auto"/>
            </w:tcBorders>
            <w:shd w:val="clear" w:color="auto" w:fill="548DD4" w:themeFill="text2" w:themeFillTint="99"/>
            <w:hideMark/>
          </w:tcPr>
          <w:p w14:paraId="2C116E9C" w14:textId="77777777" w:rsidR="00200CE9" w:rsidRDefault="00200CE9">
            <w:pPr>
              <w:pStyle w:val="BodyText"/>
              <w:rPr>
                <w:b/>
                <w:color w:val="FFFFFF" w:themeColor="background1"/>
                <w:lang w:val="en-GB" w:eastAsia="en-GB"/>
              </w:rPr>
            </w:pPr>
            <w:r>
              <w:rPr>
                <w:b/>
                <w:color w:val="FFFFFF" w:themeColor="background1"/>
                <w:lang w:val="en-GB" w:eastAsia="en-GB"/>
              </w:rPr>
              <w:t>Issue</w:t>
            </w:r>
          </w:p>
        </w:tc>
        <w:tc>
          <w:tcPr>
            <w:tcW w:w="1131" w:type="dxa"/>
            <w:tcBorders>
              <w:top w:val="double" w:sz="4" w:space="0" w:color="auto"/>
              <w:left w:val="single" w:sz="4" w:space="0" w:color="auto"/>
              <w:bottom w:val="double" w:sz="4" w:space="0" w:color="auto"/>
              <w:right w:val="single" w:sz="4" w:space="0" w:color="auto"/>
            </w:tcBorders>
            <w:shd w:val="clear" w:color="auto" w:fill="548DD4" w:themeFill="text2" w:themeFillTint="99"/>
            <w:hideMark/>
          </w:tcPr>
          <w:p w14:paraId="33CD1AC9" w14:textId="77777777" w:rsidR="00200CE9" w:rsidRDefault="00200CE9">
            <w:pPr>
              <w:pStyle w:val="BodyText"/>
              <w:rPr>
                <w:b/>
                <w:color w:val="FFFFFF" w:themeColor="background1"/>
                <w:lang w:val="en-GB" w:eastAsia="en-GB"/>
              </w:rPr>
            </w:pPr>
            <w:r>
              <w:rPr>
                <w:b/>
                <w:color w:val="FFFFFF" w:themeColor="background1"/>
                <w:lang w:val="en-GB" w:eastAsia="en-GB"/>
              </w:rPr>
              <w:t>Date</w:t>
            </w:r>
          </w:p>
        </w:tc>
        <w:tc>
          <w:tcPr>
            <w:tcW w:w="1076" w:type="dxa"/>
            <w:tcBorders>
              <w:top w:val="double" w:sz="4" w:space="0" w:color="auto"/>
              <w:left w:val="single" w:sz="4" w:space="0" w:color="auto"/>
              <w:bottom w:val="double" w:sz="4" w:space="0" w:color="auto"/>
              <w:right w:val="single" w:sz="4" w:space="0" w:color="auto"/>
            </w:tcBorders>
            <w:shd w:val="clear" w:color="auto" w:fill="548DD4" w:themeFill="text2" w:themeFillTint="99"/>
            <w:hideMark/>
          </w:tcPr>
          <w:p w14:paraId="5E895444" w14:textId="77777777" w:rsidR="00200CE9" w:rsidRDefault="00200CE9">
            <w:pPr>
              <w:pStyle w:val="BodyText"/>
              <w:rPr>
                <w:b/>
                <w:color w:val="FFFFFF" w:themeColor="background1"/>
                <w:lang w:val="en-GB" w:eastAsia="en-GB"/>
              </w:rPr>
            </w:pPr>
            <w:r>
              <w:rPr>
                <w:b/>
                <w:color w:val="FFFFFF" w:themeColor="background1"/>
                <w:lang w:val="en-GB" w:eastAsia="en-GB"/>
              </w:rPr>
              <w:t>Status</w:t>
            </w:r>
          </w:p>
        </w:tc>
        <w:tc>
          <w:tcPr>
            <w:tcW w:w="4090" w:type="dxa"/>
            <w:tcBorders>
              <w:top w:val="double" w:sz="4" w:space="0" w:color="auto"/>
              <w:left w:val="single" w:sz="4" w:space="0" w:color="auto"/>
              <w:bottom w:val="double" w:sz="4" w:space="0" w:color="auto"/>
              <w:right w:val="double" w:sz="4" w:space="0" w:color="auto"/>
            </w:tcBorders>
            <w:shd w:val="clear" w:color="auto" w:fill="548DD4" w:themeFill="text2" w:themeFillTint="99"/>
            <w:hideMark/>
          </w:tcPr>
          <w:p w14:paraId="5572A296" w14:textId="77777777" w:rsidR="00200CE9" w:rsidRDefault="00200CE9">
            <w:pPr>
              <w:pStyle w:val="BodyText"/>
              <w:rPr>
                <w:b/>
                <w:color w:val="FFFFFF" w:themeColor="background1"/>
                <w:lang w:val="en-GB" w:eastAsia="en-GB"/>
              </w:rPr>
            </w:pPr>
            <w:r>
              <w:rPr>
                <w:b/>
                <w:color w:val="FFFFFF" w:themeColor="background1"/>
                <w:lang w:val="en-GB" w:eastAsia="en-GB"/>
              </w:rPr>
              <w:t>Discussion</w:t>
            </w:r>
          </w:p>
        </w:tc>
      </w:tr>
      <w:tr w:rsidR="00200CE9" w14:paraId="2B3E54E4" w14:textId="77777777" w:rsidTr="00DE09E2">
        <w:tc>
          <w:tcPr>
            <w:tcW w:w="454" w:type="dxa"/>
            <w:tcBorders>
              <w:top w:val="single" w:sz="4" w:space="0" w:color="auto"/>
              <w:left w:val="double" w:sz="4" w:space="0" w:color="auto"/>
              <w:bottom w:val="single" w:sz="4" w:space="0" w:color="auto"/>
              <w:right w:val="single" w:sz="4" w:space="0" w:color="auto"/>
            </w:tcBorders>
            <w:hideMark/>
          </w:tcPr>
          <w:p w14:paraId="4B4D2CB3" w14:textId="77777777" w:rsidR="00200CE9" w:rsidRDefault="00200CE9">
            <w:pPr>
              <w:pStyle w:val="BodyText"/>
              <w:rPr>
                <w:lang w:val="en-GB" w:eastAsia="en-GB"/>
              </w:rPr>
            </w:pPr>
            <w:r>
              <w:rPr>
                <w:lang w:val="en-GB" w:eastAsia="en-GB"/>
              </w:rPr>
              <w:t>1</w:t>
            </w:r>
          </w:p>
        </w:tc>
        <w:tc>
          <w:tcPr>
            <w:tcW w:w="2804" w:type="dxa"/>
            <w:tcBorders>
              <w:top w:val="single" w:sz="4" w:space="0" w:color="auto"/>
              <w:left w:val="single" w:sz="4" w:space="0" w:color="auto"/>
              <w:bottom w:val="single" w:sz="4" w:space="0" w:color="auto"/>
              <w:right w:val="single" w:sz="4" w:space="0" w:color="auto"/>
            </w:tcBorders>
          </w:tcPr>
          <w:p w14:paraId="6AB89F80" w14:textId="47C1BB8F" w:rsidR="00200CE9" w:rsidRDefault="00200CE9">
            <w:pPr>
              <w:pStyle w:val="BodyText"/>
              <w:rPr>
                <w:lang w:val="en-GB" w:eastAsia="en-GB"/>
              </w:rPr>
            </w:pPr>
          </w:p>
        </w:tc>
        <w:tc>
          <w:tcPr>
            <w:tcW w:w="1131" w:type="dxa"/>
            <w:tcBorders>
              <w:top w:val="single" w:sz="4" w:space="0" w:color="auto"/>
              <w:left w:val="single" w:sz="4" w:space="0" w:color="auto"/>
              <w:bottom w:val="single" w:sz="4" w:space="0" w:color="auto"/>
              <w:right w:val="single" w:sz="4" w:space="0" w:color="auto"/>
            </w:tcBorders>
          </w:tcPr>
          <w:p w14:paraId="47CBCE7C" w14:textId="7BBB5097" w:rsidR="00200CE9" w:rsidRDefault="00200CE9">
            <w:pPr>
              <w:pStyle w:val="BodyText"/>
              <w:rPr>
                <w:lang w:val="en-GB" w:eastAsia="en-GB"/>
              </w:rPr>
            </w:pPr>
          </w:p>
        </w:tc>
        <w:tc>
          <w:tcPr>
            <w:tcW w:w="1076" w:type="dxa"/>
            <w:tcBorders>
              <w:top w:val="single" w:sz="4" w:space="0" w:color="auto"/>
              <w:left w:val="single" w:sz="4" w:space="0" w:color="auto"/>
              <w:bottom w:val="single" w:sz="4" w:space="0" w:color="auto"/>
              <w:right w:val="single" w:sz="4" w:space="0" w:color="auto"/>
            </w:tcBorders>
          </w:tcPr>
          <w:p w14:paraId="70BD54D8" w14:textId="0BF0D13F" w:rsidR="00200CE9" w:rsidRDefault="00200CE9">
            <w:pPr>
              <w:pStyle w:val="BodyText"/>
              <w:rPr>
                <w:lang w:val="en-GB" w:eastAsia="en-GB"/>
              </w:rPr>
            </w:pPr>
          </w:p>
        </w:tc>
        <w:tc>
          <w:tcPr>
            <w:tcW w:w="4090" w:type="dxa"/>
            <w:tcBorders>
              <w:top w:val="single" w:sz="4" w:space="0" w:color="auto"/>
              <w:left w:val="single" w:sz="4" w:space="0" w:color="auto"/>
              <w:bottom w:val="single" w:sz="4" w:space="0" w:color="auto"/>
              <w:right w:val="double" w:sz="4" w:space="0" w:color="auto"/>
            </w:tcBorders>
          </w:tcPr>
          <w:p w14:paraId="2A6CCE98" w14:textId="0979C6EB" w:rsidR="00200CE9" w:rsidRDefault="00200CE9">
            <w:pPr>
              <w:pStyle w:val="BodyText"/>
              <w:rPr>
                <w:lang w:val="en-GB" w:eastAsia="en-GB"/>
              </w:rPr>
            </w:pPr>
          </w:p>
        </w:tc>
      </w:tr>
      <w:tr w:rsidR="00200CE9" w14:paraId="37807226" w14:textId="77777777" w:rsidTr="00DE09E2">
        <w:tc>
          <w:tcPr>
            <w:tcW w:w="454" w:type="dxa"/>
            <w:tcBorders>
              <w:top w:val="single" w:sz="4" w:space="0" w:color="auto"/>
              <w:left w:val="double" w:sz="4" w:space="0" w:color="auto"/>
              <w:bottom w:val="double" w:sz="4" w:space="0" w:color="auto"/>
              <w:right w:val="single" w:sz="4" w:space="0" w:color="auto"/>
            </w:tcBorders>
          </w:tcPr>
          <w:p w14:paraId="114B8719" w14:textId="649F3C32" w:rsidR="00200CE9" w:rsidRPr="00EF509C" w:rsidRDefault="00EF509C">
            <w:pPr>
              <w:pStyle w:val="BodyText"/>
              <w:rPr>
                <w:b/>
                <w:lang w:val="en-GB" w:eastAsia="en-GB"/>
              </w:rPr>
            </w:pPr>
            <w:r w:rsidRPr="00EF509C">
              <w:rPr>
                <w:b/>
                <w:lang w:val="en-GB" w:eastAsia="en-GB"/>
              </w:rPr>
              <w:t>2</w:t>
            </w:r>
          </w:p>
        </w:tc>
        <w:tc>
          <w:tcPr>
            <w:tcW w:w="2804" w:type="dxa"/>
            <w:tcBorders>
              <w:top w:val="single" w:sz="4" w:space="0" w:color="auto"/>
              <w:left w:val="single" w:sz="4" w:space="0" w:color="auto"/>
              <w:bottom w:val="double" w:sz="4" w:space="0" w:color="auto"/>
              <w:right w:val="single" w:sz="4" w:space="0" w:color="auto"/>
            </w:tcBorders>
          </w:tcPr>
          <w:p w14:paraId="198A7C83" w14:textId="77777777" w:rsidR="00200CE9" w:rsidRDefault="00200CE9">
            <w:pPr>
              <w:pStyle w:val="BodyText"/>
              <w:rPr>
                <w:lang w:val="en-GB" w:eastAsia="en-GB"/>
              </w:rPr>
            </w:pPr>
          </w:p>
        </w:tc>
        <w:tc>
          <w:tcPr>
            <w:tcW w:w="1131" w:type="dxa"/>
            <w:tcBorders>
              <w:top w:val="single" w:sz="4" w:space="0" w:color="auto"/>
              <w:left w:val="single" w:sz="4" w:space="0" w:color="auto"/>
              <w:bottom w:val="double" w:sz="4" w:space="0" w:color="auto"/>
              <w:right w:val="single" w:sz="4" w:space="0" w:color="auto"/>
            </w:tcBorders>
          </w:tcPr>
          <w:p w14:paraId="70D76A6E" w14:textId="77777777" w:rsidR="00200CE9" w:rsidRDefault="00200CE9">
            <w:pPr>
              <w:pStyle w:val="BodyText"/>
              <w:rPr>
                <w:lang w:val="en-GB" w:eastAsia="en-GB"/>
              </w:rPr>
            </w:pPr>
          </w:p>
        </w:tc>
        <w:tc>
          <w:tcPr>
            <w:tcW w:w="1076" w:type="dxa"/>
            <w:tcBorders>
              <w:top w:val="single" w:sz="4" w:space="0" w:color="auto"/>
              <w:left w:val="single" w:sz="4" w:space="0" w:color="auto"/>
              <w:bottom w:val="double" w:sz="4" w:space="0" w:color="auto"/>
              <w:right w:val="single" w:sz="4" w:space="0" w:color="auto"/>
            </w:tcBorders>
          </w:tcPr>
          <w:p w14:paraId="131AEAAF" w14:textId="77777777" w:rsidR="00200CE9" w:rsidRDefault="00200CE9">
            <w:pPr>
              <w:pStyle w:val="BodyText"/>
              <w:rPr>
                <w:lang w:val="en-GB" w:eastAsia="en-GB"/>
              </w:rPr>
            </w:pPr>
          </w:p>
        </w:tc>
        <w:tc>
          <w:tcPr>
            <w:tcW w:w="4090" w:type="dxa"/>
            <w:tcBorders>
              <w:top w:val="single" w:sz="4" w:space="0" w:color="auto"/>
              <w:left w:val="single" w:sz="4" w:space="0" w:color="auto"/>
              <w:bottom w:val="double" w:sz="4" w:space="0" w:color="auto"/>
              <w:right w:val="double" w:sz="4" w:space="0" w:color="auto"/>
            </w:tcBorders>
          </w:tcPr>
          <w:p w14:paraId="0AAA04A2" w14:textId="77777777" w:rsidR="00200CE9" w:rsidRDefault="00200CE9">
            <w:pPr>
              <w:pStyle w:val="BodyText"/>
              <w:rPr>
                <w:lang w:val="en-GB" w:eastAsia="en-GB"/>
              </w:rPr>
            </w:pPr>
          </w:p>
        </w:tc>
      </w:tr>
    </w:tbl>
    <w:p w14:paraId="6B67FCED" w14:textId="421A1BEE" w:rsidR="00403113" w:rsidRDefault="00403113" w:rsidP="00403113">
      <w:pPr>
        <w:pStyle w:val="BodyText"/>
      </w:pPr>
    </w:p>
    <w:p w14:paraId="6924DB55" w14:textId="77777777" w:rsidR="003A4713" w:rsidRDefault="003A4713">
      <w:pPr>
        <w:sectPr w:rsidR="003A4713" w:rsidSect="00331B08">
          <w:headerReference w:type="default" r:id="rId13"/>
          <w:footerReference w:type="default" r:id="rId14"/>
          <w:pgSz w:w="12240" w:h="15840" w:code="1"/>
          <w:pgMar w:top="720" w:right="1440" w:bottom="1440" w:left="1440" w:header="720" w:footer="720" w:gutter="0"/>
          <w:cols w:space="720"/>
          <w:docGrid w:linePitch="360"/>
        </w:sectPr>
      </w:pPr>
    </w:p>
    <w:p w14:paraId="7297267C" w14:textId="77777777" w:rsidR="002E7FCD" w:rsidRDefault="002E7FCD" w:rsidP="002E7FCD">
      <w:pPr>
        <w:pStyle w:val="Heading1"/>
      </w:pPr>
      <w:bookmarkStart w:id="18" w:name="_Toc512523852"/>
      <w:r>
        <w:lastRenderedPageBreak/>
        <w:t>Proposed Message Flow</w:t>
      </w:r>
      <w:bookmarkEnd w:id="18"/>
    </w:p>
    <w:p w14:paraId="156D64B4" w14:textId="3C3A9DFB" w:rsidR="00A960AD" w:rsidRPr="006038CE" w:rsidRDefault="009968FC" w:rsidP="009968FC">
      <w:pPr>
        <w:rPr>
          <w:rFonts w:cstheme="minorHAnsi"/>
          <w:sz w:val="24"/>
        </w:rPr>
      </w:pPr>
      <w:bookmarkStart w:id="19" w:name="_Toc498681978"/>
      <w:bookmarkStart w:id="20" w:name="_Toc498682006"/>
      <w:bookmarkStart w:id="21" w:name="_Toc498682061"/>
      <w:bookmarkStart w:id="22" w:name="_Toc499027853"/>
      <w:bookmarkStart w:id="23" w:name="_Ref505921357"/>
      <w:bookmarkEnd w:id="19"/>
      <w:bookmarkEnd w:id="20"/>
      <w:bookmarkEnd w:id="21"/>
      <w:bookmarkEnd w:id="22"/>
      <w:r w:rsidRPr="006038CE">
        <w:rPr>
          <w:i/>
          <w:sz w:val="24"/>
        </w:rPr>
        <w:t>There are no proposed changes to message flow.</w:t>
      </w:r>
    </w:p>
    <w:bookmarkEnd w:id="23"/>
    <w:p w14:paraId="4EE74DD5" w14:textId="77777777" w:rsidR="00267997" w:rsidRPr="0042107C" w:rsidRDefault="00267997" w:rsidP="009968FC">
      <w:pPr>
        <w:pStyle w:val="BodyText"/>
        <w:keepNext/>
        <w:keepLines/>
      </w:pPr>
    </w:p>
    <w:p w14:paraId="66B62982" w14:textId="56BDD7A3" w:rsidR="002E7FCD" w:rsidRDefault="002E7FCD" w:rsidP="001642CC">
      <w:pPr>
        <w:pStyle w:val="Heading1"/>
        <w:keepLines/>
      </w:pPr>
      <w:bookmarkStart w:id="24" w:name="_Toc505891502"/>
      <w:bookmarkStart w:id="25" w:name="_Toc505925651"/>
      <w:bookmarkStart w:id="26" w:name="_Toc505925999"/>
      <w:bookmarkStart w:id="27" w:name="_Toc505891503"/>
      <w:bookmarkStart w:id="28" w:name="_Toc505925652"/>
      <w:bookmarkStart w:id="29" w:name="_Toc505926000"/>
      <w:bookmarkStart w:id="30" w:name="_Toc512523853"/>
      <w:bookmarkEnd w:id="24"/>
      <w:bookmarkEnd w:id="25"/>
      <w:bookmarkEnd w:id="26"/>
      <w:bookmarkEnd w:id="27"/>
      <w:bookmarkEnd w:id="28"/>
      <w:bookmarkEnd w:id="29"/>
      <w:r>
        <w:t xml:space="preserve">FIX </w:t>
      </w:r>
      <w:r w:rsidR="00BD39FB">
        <w:t>M</w:t>
      </w:r>
      <w:r>
        <w:t xml:space="preserve">essage </w:t>
      </w:r>
      <w:r w:rsidR="00BD39FB">
        <w:t>T</w:t>
      </w:r>
      <w:r>
        <w:t>ables</w:t>
      </w:r>
      <w:bookmarkEnd w:id="30"/>
    </w:p>
    <w:p w14:paraId="2E9C051A" w14:textId="6C56D91E" w:rsidR="009968FC" w:rsidRPr="006038CE" w:rsidRDefault="009968FC" w:rsidP="009968FC">
      <w:pPr>
        <w:rPr>
          <w:rFonts w:cstheme="minorHAnsi"/>
          <w:sz w:val="28"/>
          <w:szCs w:val="28"/>
        </w:rPr>
      </w:pPr>
      <w:r w:rsidRPr="006038CE">
        <w:rPr>
          <w:i/>
          <w:sz w:val="28"/>
          <w:szCs w:val="28"/>
        </w:rPr>
        <w:t>There are no proposed changes to messages.</w:t>
      </w:r>
    </w:p>
    <w:p w14:paraId="7F46730A" w14:textId="77777777" w:rsidR="00651F8D" w:rsidRDefault="00651F8D" w:rsidP="00D50272">
      <w:pPr>
        <w:pStyle w:val="BodyText"/>
      </w:pPr>
    </w:p>
    <w:p w14:paraId="6EF74A88" w14:textId="77777777" w:rsidR="00D001DD" w:rsidRDefault="00D001DD" w:rsidP="00FB6AF6">
      <w:pPr>
        <w:pStyle w:val="Heading1"/>
        <w:keepLines/>
      </w:pPr>
      <w:bookmarkStart w:id="31" w:name="_Toc512523854"/>
      <w:r>
        <w:t xml:space="preserve">FIX </w:t>
      </w:r>
      <w:r w:rsidR="00BD39FB">
        <w:t>C</w:t>
      </w:r>
      <w:r>
        <w:t xml:space="preserve">omponent </w:t>
      </w:r>
      <w:r w:rsidR="00BD39FB">
        <w:t>B</w:t>
      </w:r>
      <w:r>
        <w:t>locks</w:t>
      </w:r>
      <w:bookmarkEnd w:id="31"/>
    </w:p>
    <w:p w14:paraId="1AC5C7FF" w14:textId="4D89A3D7" w:rsidR="009968FC" w:rsidRPr="006038CE" w:rsidRDefault="009968FC" w:rsidP="009968FC">
      <w:pPr>
        <w:rPr>
          <w:rFonts w:cstheme="minorHAnsi"/>
          <w:sz w:val="24"/>
        </w:rPr>
      </w:pPr>
      <w:r w:rsidRPr="006038CE">
        <w:rPr>
          <w:i/>
          <w:sz w:val="24"/>
        </w:rPr>
        <w:t>There are no proposed changes to component blocks.</w:t>
      </w:r>
    </w:p>
    <w:p w14:paraId="79A30BF7" w14:textId="77777777" w:rsidR="009968FC" w:rsidRPr="0042107C" w:rsidRDefault="009968FC" w:rsidP="009968FC">
      <w:pPr>
        <w:pStyle w:val="BodyText"/>
        <w:keepNext/>
        <w:keepLines/>
      </w:pPr>
    </w:p>
    <w:p w14:paraId="3E7C6497" w14:textId="77777777" w:rsidR="004829A2" w:rsidRDefault="004829A2" w:rsidP="004829A2">
      <w:pPr>
        <w:pStyle w:val="Heading1"/>
      </w:pPr>
      <w:bookmarkStart w:id="32" w:name="_Toc512523855"/>
      <w:r>
        <w:t>Category Changes</w:t>
      </w:r>
      <w:bookmarkEnd w:id="32"/>
    </w:p>
    <w:p w14:paraId="0EFD6346" w14:textId="53BBE9D3" w:rsidR="004829A2" w:rsidRPr="006038CE" w:rsidRDefault="009968FC" w:rsidP="004829A2">
      <w:pPr>
        <w:rPr>
          <w:i/>
          <w:sz w:val="24"/>
        </w:rPr>
      </w:pPr>
      <w:r w:rsidRPr="006038CE">
        <w:rPr>
          <w:i/>
          <w:sz w:val="24"/>
        </w:rPr>
        <w:t>There are no category changes.</w:t>
      </w:r>
    </w:p>
    <w:p w14:paraId="29D62476" w14:textId="77777777" w:rsidR="004829A2" w:rsidRPr="00D001DD" w:rsidRDefault="004829A2" w:rsidP="00172ACC">
      <w:pPr>
        <w:pStyle w:val="BodyText"/>
      </w:pPr>
    </w:p>
    <w:p w14:paraId="174186E8" w14:textId="77777777" w:rsidR="00CC134C" w:rsidRDefault="00CC134C" w:rsidP="00E36BED">
      <w:pPr>
        <w:pStyle w:val="Heading1"/>
        <w:numPr>
          <w:ilvl w:val="0"/>
          <w:numId w:val="0"/>
        </w:numPr>
        <w:ind w:left="432"/>
        <w:sectPr w:rsidR="00CC134C" w:rsidSect="00331B08">
          <w:pgSz w:w="12240" w:h="15840" w:code="1"/>
          <w:pgMar w:top="720" w:right="1440" w:bottom="1440" w:left="1440" w:header="720" w:footer="720" w:gutter="0"/>
          <w:cols w:space="720"/>
          <w:docGrid w:linePitch="360"/>
        </w:sectPr>
      </w:pPr>
    </w:p>
    <w:p w14:paraId="47E1230F" w14:textId="77777777" w:rsidR="00BE2DF5" w:rsidRDefault="00F85F52" w:rsidP="00171BC7">
      <w:pPr>
        <w:pStyle w:val="Heading1"/>
        <w:numPr>
          <w:ilvl w:val="0"/>
          <w:numId w:val="0"/>
        </w:numPr>
      </w:pPr>
      <w:bookmarkStart w:id="33" w:name="_Toc512523856"/>
      <w:r>
        <w:lastRenderedPageBreak/>
        <w:t>Appendix A - Data Dictionary</w:t>
      </w:r>
      <w:bookmarkEnd w:id="33"/>
    </w:p>
    <w:p w14:paraId="0AECDD76"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3120"/>
      </w:tblGrid>
      <w:tr w:rsidR="00DE09E2" w:rsidRPr="00CC134C" w14:paraId="2CD389C9" w14:textId="77777777" w:rsidTr="007C562E">
        <w:trPr>
          <w:cantSplit/>
          <w:tblHeader/>
        </w:trPr>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50224600" w14:textId="77777777" w:rsidR="007600CB" w:rsidRPr="00CC134C" w:rsidRDefault="007600CB" w:rsidP="00CC134C">
            <w:pPr>
              <w:rPr>
                <w:b/>
              </w:rPr>
            </w:pPr>
            <w:proofErr w:type="spellStart"/>
            <w:r w:rsidRPr="00CC134C">
              <w:rPr>
                <w:b/>
              </w:rPr>
              <w:t>FieldName</w:t>
            </w:r>
            <w:proofErr w:type="spellEnd"/>
          </w:p>
        </w:tc>
        <w:tc>
          <w:tcPr>
            <w:tcW w:w="108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3120"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5247B3" w:rsidRPr="006038CE" w14:paraId="664AE63C" w14:textId="77777777" w:rsidTr="005D4129">
        <w:tc>
          <w:tcPr>
            <w:tcW w:w="827" w:type="dxa"/>
          </w:tcPr>
          <w:p w14:paraId="0ED74933" w14:textId="5432184B" w:rsidR="005247B3" w:rsidRDefault="005247B3" w:rsidP="005247B3">
            <w:pPr>
              <w:jc w:val="center"/>
              <w:rPr>
                <w:szCs w:val="22"/>
              </w:rPr>
            </w:pPr>
            <w:r>
              <w:rPr>
                <w:szCs w:val="22"/>
              </w:rPr>
              <w:t>829</w:t>
            </w:r>
          </w:p>
        </w:tc>
        <w:tc>
          <w:tcPr>
            <w:tcW w:w="2072" w:type="dxa"/>
          </w:tcPr>
          <w:p w14:paraId="741FD98E" w14:textId="2711BD3D" w:rsidR="005247B3" w:rsidRDefault="005247B3" w:rsidP="005247B3">
            <w:pPr>
              <w:rPr>
                <w:szCs w:val="22"/>
              </w:rPr>
            </w:pPr>
            <w:proofErr w:type="spellStart"/>
            <w:r>
              <w:rPr>
                <w:szCs w:val="22"/>
              </w:rPr>
              <w:t>TrdSubType</w:t>
            </w:r>
            <w:proofErr w:type="spellEnd"/>
          </w:p>
        </w:tc>
        <w:tc>
          <w:tcPr>
            <w:tcW w:w="1081" w:type="dxa"/>
          </w:tcPr>
          <w:p w14:paraId="04EA06FD" w14:textId="7D8DC42B" w:rsidR="005247B3" w:rsidRPr="006038CE" w:rsidRDefault="005247B3" w:rsidP="005247B3">
            <w:pPr>
              <w:rPr>
                <w:szCs w:val="22"/>
                <w:highlight w:val="yellow"/>
              </w:rPr>
            </w:pPr>
            <w:r w:rsidRPr="006038CE">
              <w:rPr>
                <w:szCs w:val="22"/>
                <w:highlight w:val="yellow"/>
              </w:rPr>
              <w:t>CHANGE</w:t>
            </w:r>
          </w:p>
        </w:tc>
        <w:tc>
          <w:tcPr>
            <w:tcW w:w="1081" w:type="dxa"/>
          </w:tcPr>
          <w:p w14:paraId="211AC8B1" w14:textId="7E44BA2A" w:rsidR="005247B3" w:rsidRPr="006038CE" w:rsidRDefault="005247B3" w:rsidP="005247B3">
            <w:pPr>
              <w:rPr>
                <w:szCs w:val="22"/>
              </w:rPr>
            </w:pPr>
            <w:r>
              <w:rPr>
                <w:szCs w:val="22"/>
              </w:rPr>
              <w:t>int</w:t>
            </w:r>
          </w:p>
        </w:tc>
        <w:tc>
          <w:tcPr>
            <w:tcW w:w="4030" w:type="dxa"/>
          </w:tcPr>
          <w:p w14:paraId="514C4274" w14:textId="77777777" w:rsidR="005247B3" w:rsidRDefault="005247B3" w:rsidP="005247B3">
            <w:pPr>
              <w:pStyle w:val="BodyText"/>
              <w:spacing w:after="0"/>
              <w:rPr>
                <w:rFonts w:ascii="Times New Roman" w:hAnsi="Times New Roman"/>
                <w:sz w:val="24"/>
              </w:rPr>
            </w:pPr>
            <w:r>
              <w:t>Further qualification to the trade type</w:t>
            </w:r>
          </w:p>
          <w:p w14:paraId="759E3C92" w14:textId="77777777" w:rsidR="005247B3" w:rsidRDefault="005247B3" w:rsidP="005247B3">
            <w:pPr>
              <w:pStyle w:val="BodyText"/>
              <w:spacing w:after="0"/>
            </w:pPr>
            <w:r>
              <w:t>0 = CMTA</w:t>
            </w:r>
          </w:p>
          <w:p w14:paraId="5286A479" w14:textId="77777777" w:rsidR="005247B3" w:rsidRDefault="005247B3" w:rsidP="005247B3">
            <w:pPr>
              <w:pStyle w:val="BodyText"/>
              <w:spacing w:after="0"/>
            </w:pPr>
            <w:r>
              <w:t>1 = Internal transfer or adjustment</w:t>
            </w:r>
          </w:p>
          <w:p w14:paraId="1260A47B" w14:textId="77777777" w:rsidR="005247B3" w:rsidRDefault="005247B3" w:rsidP="005247B3">
            <w:pPr>
              <w:pStyle w:val="BodyText"/>
              <w:spacing w:after="0"/>
            </w:pPr>
            <w:r>
              <w:t>2 = External transfer or transfer of account</w:t>
            </w:r>
          </w:p>
          <w:p w14:paraId="2092B317" w14:textId="77777777" w:rsidR="005247B3" w:rsidRDefault="005247B3" w:rsidP="005247B3">
            <w:pPr>
              <w:pStyle w:val="BodyText"/>
              <w:spacing w:after="0"/>
            </w:pPr>
            <w:r>
              <w:t>3 = Reject for submitting side</w:t>
            </w:r>
          </w:p>
          <w:p w14:paraId="36ED39DF" w14:textId="77777777" w:rsidR="005247B3" w:rsidRDefault="005247B3" w:rsidP="005247B3">
            <w:pPr>
              <w:pStyle w:val="BodyText"/>
              <w:spacing w:after="0"/>
            </w:pPr>
            <w:r>
              <w:t>4 = Advisory for contra side</w:t>
            </w:r>
          </w:p>
          <w:p w14:paraId="45D1E28C" w14:textId="77777777" w:rsidR="005247B3" w:rsidRDefault="005247B3" w:rsidP="005247B3">
            <w:pPr>
              <w:pStyle w:val="BodyText"/>
              <w:spacing w:after="0"/>
            </w:pPr>
            <w:r>
              <w:t>. . .</w:t>
            </w:r>
          </w:p>
          <w:p w14:paraId="26F179A7" w14:textId="77777777" w:rsidR="005247B3" w:rsidRPr="006038CE" w:rsidRDefault="005247B3" w:rsidP="005247B3">
            <w:pPr>
              <w:rPr>
                <w:i/>
                <w:szCs w:val="22"/>
                <w:highlight w:val="yellow"/>
              </w:rPr>
            </w:pPr>
            <w:r w:rsidRPr="006038CE">
              <w:rPr>
                <w:i/>
                <w:szCs w:val="22"/>
                <w:highlight w:val="yellow"/>
              </w:rPr>
              <w:t>Add enumeration:</w:t>
            </w:r>
          </w:p>
          <w:p w14:paraId="79697AEB" w14:textId="30809243" w:rsidR="005247B3" w:rsidRDefault="005247B3" w:rsidP="005247B3">
            <w:pPr>
              <w:pStyle w:val="BodyText"/>
              <w:spacing w:after="0"/>
              <w:rPr>
                <w:highlight w:val="yellow"/>
              </w:rPr>
            </w:pPr>
            <w:r>
              <w:rPr>
                <w:highlight w:val="yellow"/>
              </w:rPr>
              <w:t>&lt;</w:t>
            </w:r>
            <w:proofErr w:type="spellStart"/>
            <w:r>
              <w:rPr>
                <w:highlight w:val="yellow"/>
              </w:rPr>
              <w:t>tbd</w:t>
            </w:r>
            <w:proofErr w:type="spellEnd"/>
            <w:r>
              <w:rPr>
                <w:highlight w:val="yellow"/>
              </w:rPr>
              <w:t>&gt;</w:t>
            </w:r>
            <w:r w:rsidRPr="00AB2FDD">
              <w:rPr>
                <w:highlight w:val="yellow"/>
              </w:rPr>
              <w:t xml:space="preserve"> = </w:t>
            </w:r>
            <w:r>
              <w:rPr>
                <w:highlight w:val="yellow"/>
              </w:rPr>
              <w:t xml:space="preserve">Trade At Cash Open </w:t>
            </w:r>
            <w:r w:rsidRPr="00AB2FDD">
              <w:rPr>
                <w:highlight w:val="yellow"/>
              </w:rPr>
              <w:t>(</w:t>
            </w:r>
            <w:r>
              <w:rPr>
                <w:highlight w:val="yellow"/>
              </w:rPr>
              <w:t>TACO</w:t>
            </w:r>
            <w:r w:rsidRPr="00AB2FDD">
              <w:rPr>
                <w:highlight w:val="yellow"/>
              </w:rPr>
              <w:t xml:space="preserve">) </w:t>
            </w:r>
          </w:p>
          <w:p w14:paraId="1B91EB4C" w14:textId="004AA103" w:rsidR="005247B3" w:rsidRPr="006038CE" w:rsidRDefault="005247B3" w:rsidP="005247B3">
            <w:pPr>
              <w:rPr>
                <w:szCs w:val="22"/>
              </w:rPr>
            </w:pPr>
            <w:r w:rsidRPr="0083714F">
              <w:rPr>
                <w:i/>
                <w:highlight w:val="yellow"/>
              </w:rPr>
              <w:t xml:space="preserve">[Elaboration: The </w:t>
            </w:r>
            <w:r>
              <w:rPr>
                <w:i/>
                <w:highlight w:val="yellow"/>
              </w:rPr>
              <w:t xml:space="preserve">marketplace </w:t>
            </w:r>
            <w:r w:rsidRPr="0083714F">
              <w:rPr>
                <w:i/>
                <w:highlight w:val="yellow"/>
              </w:rPr>
              <w:t xml:space="preserve">name </w:t>
            </w:r>
            <w:r>
              <w:rPr>
                <w:i/>
                <w:highlight w:val="yellow"/>
              </w:rPr>
              <w:t xml:space="preserve">given to trading </w:t>
            </w:r>
            <w:r w:rsidR="00101EB7">
              <w:rPr>
                <w:i/>
                <w:highlight w:val="yellow"/>
              </w:rPr>
              <w:t xml:space="preserve">futures </w:t>
            </w:r>
            <w:r>
              <w:rPr>
                <w:i/>
                <w:highlight w:val="yellow"/>
              </w:rPr>
              <w:t xml:space="preserve">based on </w:t>
            </w:r>
            <w:r w:rsidR="00E22A62">
              <w:rPr>
                <w:i/>
                <w:highlight w:val="yellow"/>
              </w:rPr>
              <w:t xml:space="preserve">an </w:t>
            </w:r>
            <w:r>
              <w:rPr>
                <w:i/>
                <w:highlight w:val="yellow"/>
              </w:rPr>
              <w:t xml:space="preserve">opening quote </w:t>
            </w:r>
            <w:r w:rsidR="00101EB7">
              <w:rPr>
                <w:i/>
                <w:highlight w:val="yellow"/>
              </w:rPr>
              <w:t>of the underlying cash market</w:t>
            </w:r>
            <w:r>
              <w:rPr>
                <w:i/>
                <w:highlight w:val="yellow"/>
              </w:rPr>
              <w:t>.</w:t>
            </w:r>
            <w:r w:rsidRPr="0083714F">
              <w:rPr>
                <w:i/>
                <w:highlight w:val="yellow"/>
              </w:rPr>
              <w:t>]</w:t>
            </w:r>
          </w:p>
        </w:tc>
        <w:tc>
          <w:tcPr>
            <w:tcW w:w="1655" w:type="dxa"/>
          </w:tcPr>
          <w:p w14:paraId="47FC708A" w14:textId="18D4B717" w:rsidR="005247B3" w:rsidRPr="006038CE" w:rsidRDefault="005247B3" w:rsidP="005247B3">
            <w:pPr>
              <w:rPr>
                <w:szCs w:val="22"/>
              </w:rPr>
            </w:pPr>
          </w:p>
        </w:tc>
        <w:tc>
          <w:tcPr>
            <w:tcW w:w="3120" w:type="dxa"/>
          </w:tcPr>
          <w:p w14:paraId="3A76453C" w14:textId="77777777" w:rsidR="005247B3" w:rsidRPr="006038CE" w:rsidRDefault="005247B3" w:rsidP="005247B3">
            <w:pPr>
              <w:rPr>
                <w:szCs w:val="22"/>
              </w:rPr>
            </w:pPr>
          </w:p>
        </w:tc>
      </w:tr>
      <w:tr w:rsidR="005247B3" w:rsidRPr="006038CE" w14:paraId="0609B98E" w14:textId="77777777" w:rsidTr="005D4129">
        <w:tc>
          <w:tcPr>
            <w:tcW w:w="827" w:type="dxa"/>
          </w:tcPr>
          <w:p w14:paraId="5577B9A0" w14:textId="03EBFB2C" w:rsidR="005247B3" w:rsidRPr="006038CE" w:rsidRDefault="005247B3" w:rsidP="005247B3">
            <w:pPr>
              <w:jc w:val="center"/>
              <w:rPr>
                <w:szCs w:val="22"/>
              </w:rPr>
            </w:pPr>
            <w:r>
              <w:rPr>
                <w:szCs w:val="22"/>
              </w:rPr>
              <w:t>996</w:t>
            </w:r>
          </w:p>
        </w:tc>
        <w:tc>
          <w:tcPr>
            <w:tcW w:w="2072" w:type="dxa"/>
          </w:tcPr>
          <w:p w14:paraId="6D1924E9" w14:textId="617DF111" w:rsidR="005247B3" w:rsidRPr="006038CE" w:rsidRDefault="005247B3" w:rsidP="005247B3">
            <w:pPr>
              <w:rPr>
                <w:szCs w:val="22"/>
              </w:rPr>
            </w:pPr>
            <w:proofErr w:type="spellStart"/>
            <w:r>
              <w:rPr>
                <w:szCs w:val="22"/>
              </w:rPr>
              <w:t>UnitOfMeasure</w:t>
            </w:r>
            <w:proofErr w:type="spellEnd"/>
          </w:p>
        </w:tc>
        <w:tc>
          <w:tcPr>
            <w:tcW w:w="1081" w:type="dxa"/>
          </w:tcPr>
          <w:p w14:paraId="78A9ED29" w14:textId="42872335" w:rsidR="005247B3" w:rsidRPr="006038CE" w:rsidRDefault="005247B3" w:rsidP="005247B3">
            <w:pPr>
              <w:rPr>
                <w:szCs w:val="22"/>
                <w:highlight w:val="yellow"/>
              </w:rPr>
            </w:pPr>
            <w:r w:rsidRPr="006038CE">
              <w:rPr>
                <w:szCs w:val="22"/>
                <w:highlight w:val="yellow"/>
              </w:rPr>
              <w:t>CHANGE</w:t>
            </w:r>
          </w:p>
        </w:tc>
        <w:tc>
          <w:tcPr>
            <w:tcW w:w="1081" w:type="dxa"/>
          </w:tcPr>
          <w:p w14:paraId="29FC3B1A" w14:textId="7B479488" w:rsidR="005247B3" w:rsidRPr="006038CE" w:rsidRDefault="005247B3" w:rsidP="005247B3">
            <w:pPr>
              <w:rPr>
                <w:szCs w:val="22"/>
              </w:rPr>
            </w:pPr>
            <w:r w:rsidRPr="006038CE">
              <w:rPr>
                <w:szCs w:val="22"/>
              </w:rPr>
              <w:t>String</w:t>
            </w:r>
          </w:p>
        </w:tc>
        <w:tc>
          <w:tcPr>
            <w:tcW w:w="4030" w:type="dxa"/>
          </w:tcPr>
          <w:p w14:paraId="2C2A88EA" w14:textId="0A04D409" w:rsidR="005247B3" w:rsidRPr="006038CE" w:rsidRDefault="005247B3" w:rsidP="005247B3">
            <w:pPr>
              <w:rPr>
                <w:szCs w:val="22"/>
              </w:rPr>
            </w:pPr>
            <w:r w:rsidRPr="006038CE">
              <w:rPr>
                <w:szCs w:val="22"/>
              </w:rPr>
              <w:t>Specifies the fixed payment amount unit of measure (UOM).</w:t>
            </w:r>
          </w:p>
          <w:p w14:paraId="6AAEB34E" w14:textId="32A35B02" w:rsidR="005247B3" w:rsidRPr="006038CE" w:rsidRDefault="005247B3" w:rsidP="005247B3">
            <w:pPr>
              <w:rPr>
                <w:b/>
                <w:szCs w:val="22"/>
              </w:rPr>
            </w:pPr>
            <w:r w:rsidRPr="006038CE">
              <w:rPr>
                <w:b/>
                <w:szCs w:val="22"/>
              </w:rPr>
              <w:t>- Fixed Magnitude UOM -</w:t>
            </w:r>
          </w:p>
          <w:p w14:paraId="3FE71A84" w14:textId="63D09EE5" w:rsidR="005247B3" w:rsidRPr="006038CE" w:rsidRDefault="005247B3" w:rsidP="005247B3">
            <w:pPr>
              <w:rPr>
                <w:szCs w:val="22"/>
              </w:rPr>
            </w:pPr>
            <w:proofErr w:type="spellStart"/>
            <w:r w:rsidRPr="006038CE">
              <w:rPr>
                <w:szCs w:val="22"/>
              </w:rPr>
              <w:t>Bcf</w:t>
            </w:r>
            <w:proofErr w:type="spellEnd"/>
            <w:r w:rsidRPr="006038CE">
              <w:rPr>
                <w:szCs w:val="22"/>
              </w:rPr>
              <w:t xml:space="preserve"> = Billion cubic feet</w:t>
            </w:r>
          </w:p>
          <w:p w14:paraId="556C9D78" w14:textId="405BA319" w:rsidR="005247B3" w:rsidRPr="006038CE" w:rsidRDefault="005247B3" w:rsidP="005247B3">
            <w:pPr>
              <w:rPr>
                <w:szCs w:val="22"/>
              </w:rPr>
            </w:pPr>
            <w:r w:rsidRPr="006038CE">
              <w:rPr>
                <w:szCs w:val="22"/>
              </w:rPr>
              <w:t>CBM = Cubic Meters</w:t>
            </w:r>
          </w:p>
          <w:p w14:paraId="18734487" w14:textId="77777777" w:rsidR="005247B3" w:rsidRPr="006038CE" w:rsidRDefault="005247B3" w:rsidP="005247B3">
            <w:pPr>
              <w:rPr>
                <w:szCs w:val="22"/>
              </w:rPr>
            </w:pPr>
            <w:r w:rsidRPr="006038CE">
              <w:rPr>
                <w:szCs w:val="22"/>
              </w:rPr>
              <w:t>GJ = gigajoules</w:t>
            </w:r>
          </w:p>
          <w:p w14:paraId="6F15088E" w14:textId="14F62334" w:rsidR="005247B3" w:rsidRPr="006038CE" w:rsidRDefault="005247B3" w:rsidP="005247B3">
            <w:pPr>
              <w:rPr>
                <w:szCs w:val="22"/>
              </w:rPr>
            </w:pPr>
          </w:p>
          <w:p w14:paraId="41B13FDB" w14:textId="7580ED54" w:rsidR="005247B3" w:rsidRPr="006038CE" w:rsidRDefault="005247B3" w:rsidP="005247B3">
            <w:pPr>
              <w:rPr>
                <w:i/>
                <w:szCs w:val="22"/>
                <w:highlight w:val="yellow"/>
              </w:rPr>
            </w:pPr>
            <w:r w:rsidRPr="006038CE">
              <w:rPr>
                <w:i/>
                <w:szCs w:val="22"/>
                <w:highlight w:val="yellow"/>
              </w:rPr>
              <w:t>Add enumeration:</w:t>
            </w:r>
          </w:p>
          <w:p w14:paraId="0FEF26C2" w14:textId="4A0F9734" w:rsidR="005247B3" w:rsidRPr="006038CE" w:rsidRDefault="00101EB7" w:rsidP="005247B3">
            <w:pPr>
              <w:rPr>
                <w:szCs w:val="22"/>
                <w:highlight w:val="yellow"/>
              </w:rPr>
            </w:pPr>
            <w:proofErr w:type="spellStart"/>
            <w:r>
              <w:rPr>
                <w:szCs w:val="22"/>
                <w:highlight w:val="yellow"/>
              </w:rPr>
              <w:t>k</w:t>
            </w:r>
            <w:r w:rsidR="005247B3" w:rsidRPr="006038CE">
              <w:rPr>
                <w:szCs w:val="22"/>
                <w:highlight w:val="yellow"/>
              </w:rPr>
              <w:t>HR</w:t>
            </w:r>
            <w:proofErr w:type="spellEnd"/>
            <w:r w:rsidR="005247B3" w:rsidRPr="006038CE">
              <w:rPr>
                <w:szCs w:val="22"/>
                <w:highlight w:val="yellow"/>
              </w:rPr>
              <w:t xml:space="preserve"> - Heat rate</w:t>
            </w:r>
          </w:p>
          <w:p w14:paraId="0044C1B3" w14:textId="62F0EEF4" w:rsidR="005247B3" w:rsidRPr="006038CE" w:rsidRDefault="005247B3" w:rsidP="005247B3">
            <w:pPr>
              <w:rPr>
                <w:szCs w:val="22"/>
              </w:rPr>
            </w:pPr>
            <w:r w:rsidRPr="006038CE">
              <w:rPr>
                <w:szCs w:val="22"/>
                <w:highlight w:val="yellow"/>
              </w:rPr>
              <w:t xml:space="preserve">[Elaboration: The number of BTUs required to produce </w:t>
            </w:r>
            <w:r>
              <w:rPr>
                <w:szCs w:val="22"/>
                <w:highlight w:val="yellow"/>
              </w:rPr>
              <w:t>one</w:t>
            </w:r>
            <w:r w:rsidRPr="006038CE">
              <w:rPr>
                <w:szCs w:val="22"/>
                <w:highlight w:val="yellow"/>
              </w:rPr>
              <w:t xml:space="preserve"> </w:t>
            </w:r>
            <w:r>
              <w:rPr>
                <w:szCs w:val="22"/>
                <w:highlight w:val="yellow"/>
              </w:rPr>
              <w:t>kilo</w:t>
            </w:r>
            <w:r w:rsidRPr="006038CE">
              <w:rPr>
                <w:szCs w:val="22"/>
                <w:highlight w:val="yellow"/>
              </w:rPr>
              <w:t>watt hour of electricity</w:t>
            </w:r>
            <w:r>
              <w:rPr>
                <w:szCs w:val="22"/>
                <w:highlight w:val="yellow"/>
              </w:rPr>
              <w:t>, typically 3,412.14 BTUs per 1 kWh</w:t>
            </w:r>
            <w:r w:rsidRPr="006038CE">
              <w:rPr>
                <w:szCs w:val="22"/>
                <w:highlight w:val="yellow"/>
              </w:rPr>
              <w:t>.]</w:t>
            </w:r>
          </w:p>
          <w:p w14:paraId="51495560" w14:textId="0F57FC4B" w:rsidR="005247B3" w:rsidRPr="006038CE" w:rsidRDefault="005247B3" w:rsidP="005247B3">
            <w:pPr>
              <w:rPr>
                <w:szCs w:val="22"/>
              </w:rPr>
            </w:pPr>
          </w:p>
          <w:p w14:paraId="762508F9" w14:textId="11CB7373" w:rsidR="005247B3" w:rsidRDefault="005247B3" w:rsidP="005247B3">
            <w:pPr>
              <w:rPr>
                <w:szCs w:val="22"/>
              </w:rPr>
            </w:pPr>
            <w:r w:rsidRPr="006038CE">
              <w:rPr>
                <w:szCs w:val="22"/>
              </w:rPr>
              <w:t>kWh = Kilowatt hours</w:t>
            </w:r>
          </w:p>
          <w:p w14:paraId="4518C217" w14:textId="77777777" w:rsidR="005247B3" w:rsidRPr="006038CE" w:rsidRDefault="005247B3" w:rsidP="005247B3">
            <w:pPr>
              <w:rPr>
                <w:szCs w:val="22"/>
              </w:rPr>
            </w:pPr>
          </w:p>
          <w:p w14:paraId="71E53CFF" w14:textId="77777777" w:rsidR="005247B3" w:rsidRPr="006038CE" w:rsidRDefault="005247B3" w:rsidP="005247B3">
            <w:pPr>
              <w:rPr>
                <w:i/>
                <w:szCs w:val="22"/>
                <w:highlight w:val="yellow"/>
              </w:rPr>
            </w:pPr>
            <w:r w:rsidRPr="006038CE">
              <w:rPr>
                <w:i/>
                <w:szCs w:val="22"/>
                <w:highlight w:val="yellow"/>
              </w:rPr>
              <w:t>Add enumeration:</w:t>
            </w:r>
          </w:p>
          <w:p w14:paraId="0261E998" w14:textId="3FB001D1" w:rsidR="005247B3" w:rsidRPr="006038CE" w:rsidRDefault="005247B3" w:rsidP="005247B3">
            <w:pPr>
              <w:rPr>
                <w:szCs w:val="22"/>
                <w:highlight w:val="yellow"/>
              </w:rPr>
            </w:pPr>
            <w:r>
              <w:rPr>
                <w:szCs w:val="22"/>
                <w:highlight w:val="yellow"/>
              </w:rPr>
              <w:t>M</w:t>
            </w:r>
            <w:r w:rsidRPr="006038CE">
              <w:rPr>
                <w:szCs w:val="22"/>
                <w:highlight w:val="yellow"/>
              </w:rPr>
              <w:t xml:space="preserve">HR - </w:t>
            </w:r>
            <w:r>
              <w:rPr>
                <w:szCs w:val="22"/>
                <w:highlight w:val="yellow"/>
              </w:rPr>
              <w:t>Mega h</w:t>
            </w:r>
            <w:r w:rsidRPr="006038CE">
              <w:rPr>
                <w:szCs w:val="22"/>
                <w:highlight w:val="yellow"/>
              </w:rPr>
              <w:t>eat rate</w:t>
            </w:r>
          </w:p>
          <w:p w14:paraId="014B0F84" w14:textId="77474B75" w:rsidR="005247B3" w:rsidRPr="006038CE" w:rsidRDefault="005247B3" w:rsidP="005247B3">
            <w:pPr>
              <w:rPr>
                <w:szCs w:val="22"/>
              </w:rPr>
            </w:pPr>
            <w:r w:rsidRPr="006038CE">
              <w:rPr>
                <w:szCs w:val="22"/>
                <w:highlight w:val="yellow"/>
              </w:rPr>
              <w:t xml:space="preserve">[Elaboration: The number of </w:t>
            </w:r>
            <w:r>
              <w:rPr>
                <w:szCs w:val="22"/>
                <w:highlight w:val="yellow"/>
              </w:rPr>
              <w:t xml:space="preserve">million </w:t>
            </w:r>
            <w:r w:rsidRPr="006038CE">
              <w:rPr>
                <w:szCs w:val="22"/>
                <w:highlight w:val="yellow"/>
              </w:rPr>
              <w:t xml:space="preserve">BTUs required to produce </w:t>
            </w:r>
            <w:r>
              <w:rPr>
                <w:szCs w:val="22"/>
                <w:highlight w:val="yellow"/>
              </w:rPr>
              <w:t>one</w:t>
            </w:r>
            <w:r w:rsidRPr="006038CE">
              <w:rPr>
                <w:szCs w:val="22"/>
                <w:highlight w:val="yellow"/>
              </w:rPr>
              <w:t xml:space="preserve"> megawatt hour of electricity</w:t>
            </w:r>
            <w:r>
              <w:rPr>
                <w:szCs w:val="22"/>
                <w:highlight w:val="yellow"/>
              </w:rPr>
              <w:t>, typically 3.41214 million BTUs per 1 MWh</w:t>
            </w:r>
            <w:r w:rsidRPr="006038CE">
              <w:rPr>
                <w:szCs w:val="22"/>
                <w:highlight w:val="yellow"/>
              </w:rPr>
              <w:t>.]</w:t>
            </w:r>
          </w:p>
          <w:p w14:paraId="379EDD46" w14:textId="77777777" w:rsidR="005247B3" w:rsidRPr="006038CE" w:rsidRDefault="005247B3" w:rsidP="005247B3">
            <w:pPr>
              <w:rPr>
                <w:szCs w:val="22"/>
              </w:rPr>
            </w:pPr>
          </w:p>
          <w:p w14:paraId="60BD920C" w14:textId="74305EAE" w:rsidR="005247B3" w:rsidRPr="006038CE" w:rsidRDefault="005247B3" w:rsidP="005247B3">
            <w:pPr>
              <w:rPr>
                <w:szCs w:val="22"/>
              </w:rPr>
            </w:pPr>
            <w:r w:rsidRPr="006038CE">
              <w:rPr>
                <w:szCs w:val="22"/>
              </w:rPr>
              <w:t>MMBtu = One Million BTU</w:t>
            </w:r>
          </w:p>
          <w:p w14:paraId="586B0FF6" w14:textId="1CDD0876" w:rsidR="005247B3" w:rsidRPr="006038CE" w:rsidRDefault="005247B3" w:rsidP="005247B3">
            <w:pPr>
              <w:rPr>
                <w:szCs w:val="22"/>
              </w:rPr>
            </w:pPr>
            <w:r w:rsidRPr="006038CE">
              <w:rPr>
                <w:szCs w:val="22"/>
              </w:rPr>
              <w:t>MWh = Megawatt hours</w:t>
            </w:r>
          </w:p>
          <w:p w14:paraId="070B8654" w14:textId="0BBA8907" w:rsidR="005247B3" w:rsidRPr="006038CE" w:rsidRDefault="005247B3" w:rsidP="005247B3">
            <w:pPr>
              <w:rPr>
                <w:szCs w:val="22"/>
              </w:rPr>
            </w:pPr>
            <w:proofErr w:type="spellStart"/>
            <w:r w:rsidRPr="006038CE">
              <w:rPr>
                <w:szCs w:val="22"/>
              </w:rPr>
              <w:t>thm</w:t>
            </w:r>
            <w:proofErr w:type="spellEnd"/>
            <w:r w:rsidRPr="006038CE">
              <w:rPr>
                <w:szCs w:val="22"/>
              </w:rPr>
              <w:t xml:space="preserve"> = </w:t>
            </w:r>
            <w:proofErr w:type="spellStart"/>
            <w:r w:rsidRPr="006038CE">
              <w:rPr>
                <w:szCs w:val="22"/>
              </w:rPr>
              <w:t>therms</w:t>
            </w:r>
            <w:proofErr w:type="spellEnd"/>
          </w:p>
          <w:p w14:paraId="0E278C24" w14:textId="539911BD" w:rsidR="005247B3" w:rsidRPr="006038CE" w:rsidRDefault="005247B3" w:rsidP="005247B3">
            <w:pPr>
              <w:rPr>
                <w:szCs w:val="22"/>
              </w:rPr>
            </w:pPr>
            <w:proofErr w:type="spellStart"/>
            <w:r w:rsidRPr="006038CE">
              <w:rPr>
                <w:szCs w:val="22"/>
              </w:rPr>
              <w:t>MMbbl</w:t>
            </w:r>
            <w:proofErr w:type="spellEnd"/>
            <w:r w:rsidRPr="006038CE">
              <w:rPr>
                <w:szCs w:val="22"/>
              </w:rPr>
              <w:t xml:space="preserve"> = Million Barrels</w:t>
            </w:r>
          </w:p>
          <w:p w14:paraId="39914D2B" w14:textId="77777777" w:rsidR="005247B3" w:rsidRPr="006038CE" w:rsidRDefault="005247B3" w:rsidP="005247B3">
            <w:pPr>
              <w:rPr>
                <w:szCs w:val="22"/>
              </w:rPr>
            </w:pPr>
          </w:p>
          <w:p w14:paraId="6ED8AEF4" w14:textId="77777777" w:rsidR="005247B3" w:rsidRPr="006038CE" w:rsidRDefault="005247B3" w:rsidP="005247B3">
            <w:pPr>
              <w:rPr>
                <w:b/>
                <w:szCs w:val="22"/>
              </w:rPr>
            </w:pPr>
            <w:r w:rsidRPr="006038CE">
              <w:rPr>
                <w:b/>
                <w:szCs w:val="22"/>
              </w:rPr>
              <w:t>- Variable Quantity UOM -</w:t>
            </w:r>
          </w:p>
          <w:p w14:paraId="4C741C00" w14:textId="012F396C" w:rsidR="005247B3" w:rsidRPr="006038CE" w:rsidRDefault="005247B3" w:rsidP="005247B3">
            <w:pPr>
              <w:rPr>
                <w:i/>
                <w:szCs w:val="22"/>
              </w:rPr>
            </w:pPr>
            <w:r w:rsidRPr="006038CE">
              <w:rPr>
                <w:i/>
                <w:szCs w:val="22"/>
              </w:rPr>
              <w:t>no change</w:t>
            </w:r>
          </w:p>
        </w:tc>
        <w:tc>
          <w:tcPr>
            <w:tcW w:w="1655" w:type="dxa"/>
          </w:tcPr>
          <w:p w14:paraId="1D6317C0" w14:textId="77777777" w:rsidR="005247B3" w:rsidRPr="006038CE" w:rsidRDefault="005247B3" w:rsidP="005247B3">
            <w:pPr>
              <w:rPr>
                <w:szCs w:val="22"/>
              </w:rPr>
            </w:pPr>
          </w:p>
        </w:tc>
        <w:tc>
          <w:tcPr>
            <w:tcW w:w="3120" w:type="dxa"/>
          </w:tcPr>
          <w:p w14:paraId="7D92DBDD" w14:textId="77777777" w:rsidR="005247B3" w:rsidRPr="006038CE" w:rsidRDefault="005247B3" w:rsidP="005247B3">
            <w:pPr>
              <w:rPr>
                <w:szCs w:val="22"/>
              </w:rPr>
            </w:pPr>
          </w:p>
        </w:tc>
      </w:tr>
    </w:tbl>
    <w:p w14:paraId="7A83D57C" w14:textId="3C8F2F0B" w:rsidR="00F85F52" w:rsidRDefault="00F85F52" w:rsidP="00172ACC">
      <w:pPr>
        <w:pStyle w:val="BodyText"/>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pgSz w:w="15840" w:h="12240" w:orient="landscape" w:code="1"/>
          <w:pgMar w:top="1440" w:right="1440" w:bottom="1440" w:left="1440" w:header="720" w:footer="720" w:gutter="0"/>
          <w:cols w:space="720"/>
          <w:docGrid w:linePitch="360"/>
        </w:sectPr>
      </w:pPr>
    </w:p>
    <w:p w14:paraId="4EAF5F18" w14:textId="77777777" w:rsidR="00F85F52" w:rsidRDefault="00F85F52" w:rsidP="00171BC7">
      <w:pPr>
        <w:pStyle w:val="Heading1"/>
        <w:numPr>
          <w:ilvl w:val="0"/>
          <w:numId w:val="0"/>
        </w:numPr>
      </w:pPr>
      <w:bookmarkStart w:id="34" w:name="_Toc512523857"/>
      <w:r>
        <w:lastRenderedPageBreak/>
        <w:t>Appendix B - Glossary Entries</w:t>
      </w:r>
      <w:bookmarkEnd w:id="34"/>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6030"/>
        <w:gridCol w:w="1800"/>
      </w:tblGrid>
      <w:tr w:rsidR="00DE09E2" w14:paraId="7098E019" w14:textId="77777777" w:rsidTr="00BF167A">
        <w:tc>
          <w:tcPr>
            <w:tcW w:w="172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603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BF167A">
        <w:tc>
          <w:tcPr>
            <w:tcW w:w="1728" w:type="dxa"/>
            <w:tcBorders>
              <w:top w:val="double" w:sz="4" w:space="0" w:color="auto"/>
            </w:tcBorders>
          </w:tcPr>
          <w:p w14:paraId="33DA1C97" w14:textId="07B88076" w:rsidR="00CC134C" w:rsidRPr="00BA4251" w:rsidRDefault="00BA4251" w:rsidP="006C2CC2">
            <w:r w:rsidRPr="00BF167A">
              <w:rPr>
                <w:rFonts w:cstheme="minorHAnsi"/>
                <w:sz w:val="24"/>
              </w:rPr>
              <w:t>Heat Rate</w:t>
            </w:r>
          </w:p>
        </w:tc>
        <w:tc>
          <w:tcPr>
            <w:tcW w:w="6030" w:type="dxa"/>
            <w:tcBorders>
              <w:top w:val="double" w:sz="4" w:space="0" w:color="auto"/>
            </w:tcBorders>
          </w:tcPr>
          <w:p w14:paraId="51879576" w14:textId="15F1C651" w:rsidR="00CC134C" w:rsidRDefault="00BA4251" w:rsidP="006C2CC2">
            <w:r w:rsidRPr="00BA4251">
              <w:rPr>
                <w:rFonts w:cstheme="minorHAnsi"/>
                <w:sz w:val="24"/>
              </w:rPr>
              <w:t>Heat Rate is an expression of the conversion efficiency of power generating engines. The typical unit for this is Btu/kWh, or British Thermal Units per kilowatt hour. For example, 8,000 Btu/kWh means that 8,000 Btu of heat energy which is input into the engine will result in conversion to 1 kWh of electricity</w:t>
            </w:r>
            <w:r>
              <w:rPr>
                <w:rFonts w:cstheme="minorHAnsi"/>
                <w:sz w:val="24"/>
              </w:rPr>
              <w:t>.</w:t>
            </w:r>
          </w:p>
        </w:tc>
        <w:tc>
          <w:tcPr>
            <w:tcW w:w="1800" w:type="dxa"/>
            <w:tcBorders>
              <w:top w:val="double" w:sz="4" w:space="0" w:color="auto"/>
            </w:tcBorders>
          </w:tcPr>
          <w:p w14:paraId="597DAA14" w14:textId="55C522D6" w:rsidR="00CC134C" w:rsidRDefault="00BA4251" w:rsidP="006C2CC2">
            <w:proofErr w:type="spellStart"/>
            <w:r>
              <w:t>UnitOfMeasure</w:t>
            </w:r>
            <w:proofErr w:type="spellEnd"/>
            <w:r>
              <w:t>(996)</w:t>
            </w:r>
          </w:p>
        </w:tc>
      </w:tr>
      <w:tr w:rsidR="00BA4251" w14:paraId="37584C1B" w14:textId="77777777" w:rsidTr="00BF167A">
        <w:tc>
          <w:tcPr>
            <w:tcW w:w="1728" w:type="dxa"/>
          </w:tcPr>
          <w:p w14:paraId="2E347E71" w14:textId="4DA291E0" w:rsidR="00BA4251" w:rsidRDefault="00BA4251" w:rsidP="00BA4251">
            <w:r>
              <w:rPr>
                <w:rFonts w:cstheme="minorHAnsi"/>
                <w:sz w:val="24"/>
              </w:rPr>
              <w:t xml:space="preserve">Mega </w:t>
            </w:r>
            <w:r w:rsidRPr="00570CF0">
              <w:rPr>
                <w:rFonts w:cstheme="minorHAnsi"/>
                <w:sz w:val="24"/>
              </w:rPr>
              <w:t>Heat Rate</w:t>
            </w:r>
          </w:p>
        </w:tc>
        <w:tc>
          <w:tcPr>
            <w:tcW w:w="6030" w:type="dxa"/>
          </w:tcPr>
          <w:p w14:paraId="2EE38527" w14:textId="522E85A2" w:rsidR="00BA4251" w:rsidRDefault="00BA4251" w:rsidP="00BA4251">
            <w:r>
              <w:t xml:space="preserve">Mega Heat Rate is an extension of Heat Rate </w:t>
            </w:r>
            <w:r w:rsidR="00DE4E99">
              <w:t xml:space="preserve">used in commodity trades </w:t>
            </w:r>
            <w:r>
              <w:t>whereby</w:t>
            </w:r>
            <w:r w:rsidR="00DE4E99">
              <w:t xml:space="preserve"> the unit is MMBtu/MWh, or millions of British Thermal Units per megawatt hour.</w:t>
            </w:r>
          </w:p>
        </w:tc>
        <w:tc>
          <w:tcPr>
            <w:tcW w:w="1800" w:type="dxa"/>
          </w:tcPr>
          <w:p w14:paraId="6977E34F" w14:textId="606587D7" w:rsidR="00BA4251" w:rsidRDefault="00BA4251" w:rsidP="00BA4251">
            <w:proofErr w:type="spellStart"/>
            <w:r>
              <w:t>UnitOfMeasure</w:t>
            </w:r>
            <w:proofErr w:type="spellEnd"/>
            <w:r>
              <w:t>(996)</w:t>
            </w:r>
          </w:p>
        </w:tc>
      </w:tr>
      <w:tr w:rsidR="00BA4251" w14:paraId="100FA86F" w14:textId="77777777" w:rsidTr="00BF167A">
        <w:tc>
          <w:tcPr>
            <w:tcW w:w="1728" w:type="dxa"/>
          </w:tcPr>
          <w:p w14:paraId="516C6BB1" w14:textId="77777777" w:rsidR="00BA4251" w:rsidRDefault="00BA4251" w:rsidP="00BA4251"/>
        </w:tc>
        <w:tc>
          <w:tcPr>
            <w:tcW w:w="6030" w:type="dxa"/>
          </w:tcPr>
          <w:p w14:paraId="476C54DE" w14:textId="77777777" w:rsidR="00BA4251" w:rsidRDefault="00BA4251" w:rsidP="00BA4251"/>
        </w:tc>
        <w:tc>
          <w:tcPr>
            <w:tcW w:w="1800" w:type="dxa"/>
          </w:tcPr>
          <w:p w14:paraId="2200B43F" w14:textId="77777777" w:rsidR="00BA4251" w:rsidRDefault="00BA4251" w:rsidP="00BA4251"/>
        </w:tc>
      </w:tr>
      <w:tr w:rsidR="00BA4251" w14:paraId="03E81F8F" w14:textId="77777777" w:rsidTr="00BF167A">
        <w:tc>
          <w:tcPr>
            <w:tcW w:w="1728" w:type="dxa"/>
          </w:tcPr>
          <w:p w14:paraId="43BD721B" w14:textId="77777777" w:rsidR="00BA4251" w:rsidRDefault="00BA4251" w:rsidP="00BA4251">
            <w:pPr>
              <w:rPr>
                <w:snapToGrid w:val="0"/>
              </w:rPr>
            </w:pPr>
          </w:p>
        </w:tc>
        <w:tc>
          <w:tcPr>
            <w:tcW w:w="6030" w:type="dxa"/>
          </w:tcPr>
          <w:p w14:paraId="55CF5019" w14:textId="77777777" w:rsidR="00BA4251" w:rsidRDefault="00BA4251" w:rsidP="00BA4251"/>
        </w:tc>
        <w:tc>
          <w:tcPr>
            <w:tcW w:w="1800" w:type="dxa"/>
          </w:tcPr>
          <w:p w14:paraId="0D40A434" w14:textId="77777777" w:rsidR="00BA4251" w:rsidRDefault="00BA4251" w:rsidP="00BA4251"/>
        </w:tc>
      </w:tr>
    </w:tbl>
    <w:p w14:paraId="17252B70" w14:textId="77777777" w:rsidR="004829A2" w:rsidRDefault="004829A2" w:rsidP="00172ACC">
      <w:pPr>
        <w:pStyle w:val="BodyText"/>
      </w:pPr>
    </w:p>
    <w:p w14:paraId="08002B34" w14:textId="77777777" w:rsidR="00171BC7" w:rsidRDefault="00171BC7" w:rsidP="00171BC7">
      <w:pPr>
        <w:pStyle w:val="Heading1"/>
        <w:numPr>
          <w:ilvl w:val="0"/>
          <w:numId w:val="0"/>
        </w:numPr>
      </w:pPr>
      <w:bookmarkStart w:id="35" w:name="_Toc512523858"/>
      <w:r>
        <w:t xml:space="preserve">Appendix C </w:t>
      </w:r>
      <w:r w:rsidR="00BD39FB">
        <w:t>-</w:t>
      </w:r>
      <w:r>
        <w:t xml:space="preserve"> Abbreviations</w:t>
      </w:r>
      <w:bookmarkEnd w:id="35"/>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DE09E2" w14:paraId="7F8DF12E" w14:textId="77777777" w:rsidTr="00DE09E2">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77530E" w14:paraId="3D814DCF" w14:textId="77777777" w:rsidTr="00DE09E2">
        <w:tc>
          <w:tcPr>
            <w:tcW w:w="2358" w:type="dxa"/>
            <w:tcBorders>
              <w:top w:val="double" w:sz="4" w:space="0" w:color="auto"/>
            </w:tcBorders>
          </w:tcPr>
          <w:p w14:paraId="036A65A1" w14:textId="365C63EA" w:rsidR="0077530E" w:rsidRDefault="0077530E" w:rsidP="0077530E"/>
        </w:tc>
        <w:tc>
          <w:tcPr>
            <w:tcW w:w="2430" w:type="dxa"/>
            <w:tcBorders>
              <w:top w:val="double" w:sz="4" w:space="0" w:color="auto"/>
            </w:tcBorders>
          </w:tcPr>
          <w:p w14:paraId="23C984F7" w14:textId="26E4E61B" w:rsidR="0077530E" w:rsidRDefault="0077530E" w:rsidP="0077530E"/>
        </w:tc>
        <w:tc>
          <w:tcPr>
            <w:tcW w:w="4770" w:type="dxa"/>
            <w:tcBorders>
              <w:top w:val="double" w:sz="4" w:space="0" w:color="auto"/>
            </w:tcBorders>
          </w:tcPr>
          <w:p w14:paraId="04FEC968" w14:textId="4C9262CB" w:rsidR="0077530E" w:rsidRDefault="0077530E" w:rsidP="0077530E"/>
        </w:tc>
      </w:tr>
      <w:tr w:rsidR="0077530E" w14:paraId="4EDCB45E" w14:textId="77777777" w:rsidTr="00DE09E2">
        <w:tc>
          <w:tcPr>
            <w:tcW w:w="2358" w:type="dxa"/>
          </w:tcPr>
          <w:p w14:paraId="2492CC6D" w14:textId="77777777" w:rsidR="0077530E" w:rsidRDefault="0077530E" w:rsidP="0077530E"/>
        </w:tc>
        <w:tc>
          <w:tcPr>
            <w:tcW w:w="2430" w:type="dxa"/>
          </w:tcPr>
          <w:p w14:paraId="2EB93D5A" w14:textId="77777777" w:rsidR="0077530E" w:rsidRDefault="0077530E" w:rsidP="0077530E"/>
        </w:tc>
        <w:tc>
          <w:tcPr>
            <w:tcW w:w="4770" w:type="dxa"/>
          </w:tcPr>
          <w:p w14:paraId="137371AD" w14:textId="77777777" w:rsidR="0077530E" w:rsidRDefault="0077530E" w:rsidP="0077530E"/>
        </w:tc>
      </w:tr>
      <w:tr w:rsidR="0077530E" w14:paraId="57294925" w14:textId="77777777" w:rsidTr="00DE09E2">
        <w:tc>
          <w:tcPr>
            <w:tcW w:w="2358" w:type="dxa"/>
          </w:tcPr>
          <w:p w14:paraId="04004EAC" w14:textId="77777777" w:rsidR="0077530E" w:rsidRDefault="0077530E" w:rsidP="0077530E"/>
        </w:tc>
        <w:tc>
          <w:tcPr>
            <w:tcW w:w="2430" w:type="dxa"/>
          </w:tcPr>
          <w:p w14:paraId="1AD6CBC4" w14:textId="77777777" w:rsidR="0077530E" w:rsidRDefault="0077530E" w:rsidP="0077530E"/>
        </w:tc>
        <w:tc>
          <w:tcPr>
            <w:tcW w:w="4770" w:type="dxa"/>
          </w:tcPr>
          <w:p w14:paraId="3D53E948" w14:textId="77777777" w:rsidR="0077530E" w:rsidRDefault="0077530E" w:rsidP="0077530E"/>
        </w:tc>
      </w:tr>
      <w:tr w:rsidR="0077530E" w14:paraId="7A092E9E" w14:textId="77777777" w:rsidTr="00DE09E2">
        <w:tc>
          <w:tcPr>
            <w:tcW w:w="2358" w:type="dxa"/>
          </w:tcPr>
          <w:p w14:paraId="65E7F00C" w14:textId="77777777" w:rsidR="0077530E" w:rsidRDefault="0077530E" w:rsidP="0077530E">
            <w:pPr>
              <w:rPr>
                <w:snapToGrid w:val="0"/>
              </w:rPr>
            </w:pPr>
          </w:p>
        </w:tc>
        <w:tc>
          <w:tcPr>
            <w:tcW w:w="2430" w:type="dxa"/>
          </w:tcPr>
          <w:p w14:paraId="0DF0F3E0" w14:textId="77777777" w:rsidR="0077530E" w:rsidRDefault="0077530E" w:rsidP="0077530E"/>
        </w:tc>
        <w:tc>
          <w:tcPr>
            <w:tcW w:w="4770" w:type="dxa"/>
          </w:tcPr>
          <w:p w14:paraId="6FC880FC" w14:textId="77777777" w:rsidR="0077530E" w:rsidRDefault="0077530E" w:rsidP="0077530E"/>
        </w:tc>
      </w:tr>
    </w:tbl>
    <w:p w14:paraId="4D4E52F7" w14:textId="77777777" w:rsidR="00171BC7" w:rsidRDefault="00171BC7" w:rsidP="00171BC7">
      <w:pPr>
        <w:pStyle w:val="BodyText"/>
      </w:pPr>
    </w:p>
    <w:p w14:paraId="50D1B967" w14:textId="77777777" w:rsidR="00D001DD" w:rsidRDefault="00171BC7" w:rsidP="00171BC7">
      <w:pPr>
        <w:pStyle w:val="Heading1"/>
        <w:numPr>
          <w:ilvl w:val="0"/>
          <w:numId w:val="0"/>
        </w:numPr>
      </w:pPr>
      <w:bookmarkStart w:id="36" w:name="_Toc512523859"/>
      <w:r>
        <w:t>Appendix D</w:t>
      </w:r>
      <w:r w:rsidR="00D001DD">
        <w:t xml:space="preserve"> - Usage Examples</w:t>
      </w:r>
      <w:bookmarkEnd w:id="36"/>
    </w:p>
    <w:p w14:paraId="6CD742A4" w14:textId="77777777" w:rsidR="00AB2374" w:rsidRPr="00BF2B75" w:rsidRDefault="00AB2374" w:rsidP="00172ACC">
      <w:pPr>
        <w:pStyle w:val="BodyText"/>
      </w:pPr>
    </w:p>
    <w:sectPr w:rsidR="00AB2374" w:rsidRPr="00BF2B75" w:rsidSect="00142D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913BB" w14:textId="77777777" w:rsidR="005F3D3D" w:rsidRDefault="005F3D3D">
      <w:r>
        <w:separator/>
      </w:r>
    </w:p>
  </w:endnote>
  <w:endnote w:type="continuationSeparator" w:id="0">
    <w:p w14:paraId="5FC79C57" w14:textId="77777777" w:rsidR="005F3D3D" w:rsidRDefault="005F3D3D">
      <w:r>
        <w:continuationSeparator/>
      </w:r>
    </w:p>
  </w:endnote>
  <w:endnote w:type="continuationNotice" w:id="1">
    <w:p w14:paraId="42E8C565" w14:textId="77777777" w:rsidR="005F3D3D" w:rsidRDefault="005F3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0340" w14:textId="77777777" w:rsidR="005D4129" w:rsidRPr="005D628B" w:rsidRDefault="005D4129"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5D4129" w14:paraId="4DEECDA3" w14:textId="77777777" w:rsidTr="0041699E">
      <w:trPr>
        <w:jc w:val="center"/>
      </w:trPr>
      <w:tc>
        <w:tcPr>
          <w:tcW w:w="2340" w:type="dxa"/>
        </w:tcPr>
        <w:p w14:paraId="05E96D1E" w14:textId="77777777" w:rsidR="005D4129" w:rsidRDefault="005D4129" w:rsidP="00414EBB">
          <w:pPr>
            <w:pStyle w:val="Footer"/>
            <w:tabs>
              <w:tab w:val="clear" w:pos="8640"/>
              <w:tab w:val="right" w:pos="9360"/>
            </w:tabs>
            <w:jc w:val="right"/>
          </w:pPr>
          <w:r>
            <w:t>Submission Date</w:t>
          </w:r>
        </w:p>
      </w:tc>
      <w:tc>
        <w:tcPr>
          <w:tcW w:w="2340" w:type="dxa"/>
        </w:tcPr>
        <w:p w14:paraId="670BDA95" w14:textId="532878B0" w:rsidR="005D4129" w:rsidRDefault="00BF2817" w:rsidP="00414EBB">
          <w:pPr>
            <w:pStyle w:val="Footer"/>
            <w:tabs>
              <w:tab w:val="clear" w:pos="8640"/>
              <w:tab w:val="right" w:pos="9360"/>
            </w:tabs>
          </w:pPr>
          <w:r>
            <w:t xml:space="preserve">May </w:t>
          </w:r>
          <w:r w:rsidR="00101EB7">
            <w:t>2</w:t>
          </w:r>
          <w:r w:rsidR="005D4129">
            <w:t>, 2018</w:t>
          </w:r>
        </w:p>
      </w:tc>
      <w:tc>
        <w:tcPr>
          <w:tcW w:w="1890" w:type="dxa"/>
        </w:tcPr>
        <w:p w14:paraId="4CCD794B" w14:textId="77777777" w:rsidR="005D4129" w:rsidRDefault="005D4129" w:rsidP="00414EBB">
          <w:pPr>
            <w:pStyle w:val="Footer"/>
            <w:tabs>
              <w:tab w:val="clear" w:pos="4320"/>
              <w:tab w:val="clear" w:pos="8640"/>
              <w:tab w:val="right" w:pos="9360"/>
            </w:tabs>
            <w:jc w:val="right"/>
          </w:pPr>
          <w:r>
            <w:t>Control Number</w:t>
          </w:r>
        </w:p>
      </w:tc>
      <w:tc>
        <w:tcPr>
          <w:tcW w:w="2790" w:type="dxa"/>
        </w:tcPr>
        <w:p w14:paraId="01B3130F" w14:textId="002F74DC" w:rsidR="005D4129" w:rsidRDefault="005D4129" w:rsidP="00414EBB">
          <w:pPr>
            <w:pStyle w:val="Footer"/>
            <w:tabs>
              <w:tab w:val="clear" w:pos="4320"/>
              <w:tab w:val="clear" w:pos="8640"/>
              <w:tab w:val="center" w:pos="-11268"/>
              <w:tab w:val="right" w:pos="9360"/>
            </w:tabs>
          </w:pPr>
        </w:p>
      </w:tc>
    </w:tr>
    <w:tr w:rsidR="005D4129" w14:paraId="4A9FF2E1" w14:textId="77777777" w:rsidTr="0041699E">
      <w:trPr>
        <w:jc w:val="center"/>
      </w:trPr>
      <w:tc>
        <w:tcPr>
          <w:tcW w:w="2340" w:type="dxa"/>
        </w:tcPr>
        <w:p w14:paraId="5D53BFFB" w14:textId="77777777" w:rsidR="005D4129" w:rsidRDefault="005D4129" w:rsidP="00414EBB">
          <w:pPr>
            <w:pStyle w:val="Footer"/>
            <w:tabs>
              <w:tab w:val="clear" w:pos="8640"/>
              <w:tab w:val="right" w:pos="9360"/>
            </w:tabs>
            <w:jc w:val="right"/>
          </w:pPr>
          <w:r>
            <w:t>Submission Status</w:t>
          </w:r>
        </w:p>
      </w:tc>
      <w:tc>
        <w:tcPr>
          <w:tcW w:w="2340" w:type="dxa"/>
        </w:tcPr>
        <w:p w14:paraId="70F8E1E3" w14:textId="165618FF" w:rsidR="005D4129" w:rsidRDefault="00BF167A" w:rsidP="00414EBB">
          <w:pPr>
            <w:pStyle w:val="Footer"/>
            <w:tabs>
              <w:tab w:val="clear" w:pos="8640"/>
              <w:tab w:val="right" w:pos="9360"/>
            </w:tabs>
          </w:pPr>
          <w:r>
            <w:t>Submitted</w:t>
          </w:r>
        </w:p>
      </w:tc>
      <w:tc>
        <w:tcPr>
          <w:tcW w:w="1890" w:type="dxa"/>
        </w:tcPr>
        <w:p w14:paraId="16FEBC46" w14:textId="77777777" w:rsidR="005D4129" w:rsidRDefault="005D4129" w:rsidP="00414EBB">
          <w:pPr>
            <w:pStyle w:val="Footer"/>
            <w:tabs>
              <w:tab w:val="clear" w:pos="8640"/>
              <w:tab w:val="right" w:pos="9360"/>
            </w:tabs>
            <w:jc w:val="right"/>
          </w:pPr>
          <w:r>
            <w:t>Ratified Date</w:t>
          </w:r>
        </w:p>
      </w:tc>
      <w:tc>
        <w:tcPr>
          <w:tcW w:w="2790" w:type="dxa"/>
        </w:tcPr>
        <w:p w14:paraId="4589982E" w14:textId="77777777" w:rsidR="005D4129" w:rsidRDefault="005D4129" w:rsidP="00414EBB">
          <w:pPr>
            <w:pStyle w:val="Footer"/>
            <w:tabs>
              <w:tab w:val="clear" w:pos="8640"/>
              <w:tab w:val="right" w:pos="9360"/>
            </w:tabs>
          </w:pPr>
        </w:p>
      </w:tc>
    </w:tr>
    <w:tr w:rsidR="005D4129" w14:paraId="71C5F345" w14:textId="77777777" w:rsidTr="0041699E">
      <w:trPr>
        <w:jc w:val="center"/>
      </w:trPr>
      <w:tc>
        <w:tcPr>
          <w:tcW w:w="2340" w:type="dxa"/>
        </w:tcPr>
        <w:p w14:paraId="7535773B" w14:textId="77777777" w:rsidR="005D4129" w:rsidRDefault="005D4129" w:rsidP="00414EBB">
          <w:pPr>
            <w:pStyle w:val="Footer"/>
            <w:tabs>
              <w:tab w:val="clear" w:pos="8640"/>
              <w:tab w:val="right" w:pos="9360"/>
            </w:tabs>
            <w:jc w:val="right"/>
          </w:pPr>
          <w:r>
            <w:t>Primary Contact Person</w:t>
          </w:r>
        </w:p>
      </w:tc>
      <w:tc>
        <w:tcPr>
          <w:tcW w:w="2340" w:type="dxa"/>
        </w:tcPr>
        <w:p w14:paraId="1F2BF5F1" w14:textId="0250EE5A" w:rsidR="005D4129" w:rsidRDefault="005D4129" w:rsidP="00414EBB">
          <w:pPr>
            <w:pStyle w:val="Footer"/>
            <w:tabs>
              <w:tab w:val="clear" w:pos="8640"/>
              <w:tab w:val="right" w:pos="9360"/>
            </w:tabs>
          </w:pPr>
          <w:r>
            <w:t>John Plante, CME Group</w:t>
          </w:r>
        </w:p>
      </w:tc>
      <w:tc>
        <w:tcPr>
          <w:tcW w:w="1890" w:type="dxa"/>
        </w:tcPr>
        <w:p w14:paraId="7486DA6A" w14:textId="77777777" w:rsidR="005D4129" w:rsidRDefault="005D4129" w:rsidP="00414EBB">
          <w:pPr>
            <w:pStyle w:val="Footer"/>
            <w:tabs>
              <w:tab w:val="clear" w:pos="8640"/>
              <w:tab w:val="right" w:pos="9360"/>
            </w:tabs>
            <w:jc w:val="right"/>
          </w:pPr>
          <w:r>
            <w:t>Release Identifier</w:t>
          </w:r>
        </w:p>
      </w:tc>
      <w:tc>
        <w:tcPr>
          <w:tcW w:w="2790" w:type="dxa"/>
        </w:tcPr>
        <w:p w14:paraId="747619BA" w14:textId="5A31D3DF" w:rsidR="005D4129" w:rsidRDefault="005D4129" w:rsidP="00414EBB">
          <w:pPr>
            <w:pStyle w:val="Footer"/>
            <w:tabs>
              <w:tab w:val="clear" w:pos="8640"/>
              <w:tab w:val="right" w:pos="9360"/>
            </w:tabs>
          </w:pPr>
        </w:p>
      </w:tc>
    </w:tr>
  </w:tbl>
  <w:p w14:paraId="5212A443" w14:textId="77777777" w:rsidR="005D4129" w:rsidRDefault="005D4129" w:rsidP="008F72BB">
    <w:pPr>
      <w:pStyle w:val="Footer"/>
      <w:tabs>
        <w:tab w:val="clear" w:pos="8640"/>
        <w:tab w:val="right" w:pos="9360"/>
      </w:tabs>
    </w:pPr>
  </w:p>
  <w:p w14:paraId="30348478" w14:textId="363D4634" w:rsidR="005D4129" w:rsidRDefault="005D4129" w:rsidP="005D628B">
    <w:pPr>
      <w:pStyle w:val="Footer"/>
      <w:tabs>
        <w:tab w:val="clear" w:pos="8640"/>
        <w:tab w:val="right" w:pos="9360"/>
      </w:tabs>
    </w:pPr>
    <w:r>
      <w:sym w:font="Symbol" w:char="F0D3"/>
    </w:r>
    <w:r>
      <w:t xml:space="preserve"> Copyright, 2011-2018, FIX Protocol, Limited</w:t>
    </w:r>
  </w:p>
  <w:p w14:paraId="69CAB92C" w14:textId="24817EEC" w:rsidR="005D4129" w:rsidRPr="00DD44E0" w:rsidRDefault="005D4129"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44DC" w14:textId="0096A412" w:rsidR="005D4129" w:rsidRDefault="005D4129" w:rsidP="00640B1F">
    <w:pPr>
      <w:pStyle w:val="Footer"/>
      <w:pBdr>
        <w:top w:val="single" w:sz="4" w:space="1" w:color="auto"/>
      </w:pBdr>
      <w:tabs>
        <w:tab w:val="clear" w:pos="8640"/>
        <w:tab w:val="right" w:pos="9360"/>
      </w:tabs>
    </w:pPr>
    <w:r>
      <w:sym w:font="Symbol" w:char="F0D3"/>
    </w:r>
    <w:r>
      <w:t xml:space="preserve"> Copyright, 2018, FIX Protocol, Limited</w:t>
    </w:r>
    <w:r>
      <w:tab/>
    </w:r>
    <w:r>
      <w:tab/>
      <w:t xml:space="preserve">Page </w:t>
    </w:r>
    <w:r>
      <w:fldChar w:fldCharType="begin"/>
    </w:r>
    <w:r>
      <w:instrText xml:space="preserve"> PAGE </w:instrText>
    </w:r>
    <w:r>
      <w:fldChar w:fldCharType="separate"/>
    </w:r>
    <w:r w:rsidR="00EB03A8">
      <w:rPr>
        <w:noProof/>
      </w:rPr>
      <w:t>12</w:t>
    </w:r>
    <w:r>
      <w:rPr>
        <w:noProof/>
      </w:rPr>
      <w:fldChar w:fldCharType="end"/>
    </w:r>
    <w:r>
      <w:t xml:space="preserve"> of </w:t>
    </w:r>
    <w:r>
      <w:fldChar w:fldCharType="begin"/>
    </w:r>
    <w:r>
      <w:instrText xml:space="preserve"> NUMPAGES </w:instrText>
    </w:r>
    <w:r>
      <w:fldChar w:fldCharType="separate"/>
    </w:r>
    <w:r w:rsidR="00EB03A8">
      <w:rPr>
        <w:noProof/>
      </w:rPr>
      <w:t>12</w:t>
    </w:r>
    <w:r>
      <w:rPr>
        <w:noProof/>
      </w:rPr>
      <w:fldChar w:fldCharType="end"/>
    </w:r>
  </w:p>
  <w:p w14:paraId="766B93C5" w14:textId="63E582BC" w:rsidR="005D4129" w:rsidRPr="00DD44E0" w:rsidRDefault="005D4129"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2B723" w14:textId="77777777" w:rsidR="005F3D3D" w:rsidRDefault="005F3D3D">
      <w:r>
        <w:separator/>
      </w:r>
    </w:p>
  </w:footnote>
  <w:footnote w:type="continuationSeparator" w:id="0">
    <w:p w14:paraId="03D2B515" w14:textId="77777777" w:rsidR="005F3D3D" w:rsidRDefault="005F3D3D">
      <w:r>
        <w:continuationSeparator/>
      </w:r>
    </w:p>
  </w:footnote>
  <w:footnote w:type="continuationNotice" w:id="1">
    <w:p w14:paraId="66BD7C99" w14:textId="77777777" w:rsidR="005F3D3D" w:rsidRDefault="005F3D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89BC" w14:textId="77777777" w:rsidR="005D4129" w:rsidRDefault="005D4129"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EC79F" w14:textId="40D4010E" w:rsidR="005D4129" w:rsidRPr="00183E4D" w:rsidRDefault="005D4129" w:rsidP="006D73EC">
    <w:pPr>
      <w:tabs>
        <w:tab w:val="left" w:pos="6298"/>
      </w:tabs>
      <w:rPr>
        <w:sz w:val="24"/>
      </w:rPr>
    </w:pPr>
    <w:r w:rsidRPr="00183E4D">
      <w:rPr>
        <w:sz w:val="24"/>
      </w:rPr>
      <w:fldChar w:fldCharType="begin"/>
    </w:r>
    <w:r w:rsidRPr="00183E4D">
      <w:rPr>
        <w:sz w:val="24"/>
      </w:rPr>
      <w:instrText xml:space="preserve"> REF  DocTitle  \* MERGEFORMAT </w:instrText>
    </w:r>
    <w:r w:rsidRPr="00183E4D">
      <w:rPr>
        <w:sz w:val="24"/>
      </w:rPr>
      <w:fldChar w:fldCharType="separate"/>
    </w:r>
    <w:r w:rsidR="00183E4D" w:rsidRPr="00183E4D">
      <w:rPr>
        <w:sz w:val="24"/>
      </w:rPr>
      <w:t>CME Unit of Measure and Trade Sub-Type Enhancement</w:t>
    </w:r>
    <w:r w:rsidRPr="00183E4D">
      <w:rPr>
        <w:sz w:val="24"/>
      </w:rPr>
      <w:fldChar w:fldCharType="end"/>
    </w:r>
  </w:p>
  <w:p w14:paraId="21FCF6BB" w14:textId="28C42BCA" w:rsidR="005D4129" w:rsidRPr="005D4129" w:rsidRDefault="005D4129" w:rsidP="005D4129">
    <w:pPr>
      <w:pBdr>
        <w:bottom w:val="single" w:sz="4" w:space="1" w:color="auto"/>
      </w:pBdr>
      <w:rPr>
        <w:rFonts w:cstheme="minorHAnsi"/>
        <w:sz w:val="24"/>
      </w:rPr>
    </w:pPr>
    <w:r w:rsidRPr="005D4129">
      <w:rPr>
        <w:rFonts w:cstheme="minorHAnsi"/>
        <w:sz w:val="24"/>
      </w:rPr>
      <w:fldChar w:fldCharType="begin"/>
    </w:r>
    <w:r w:rsidRPr="005D4129">
      <w:rPr>
        <w:rFonts w:cstheme="minorHAnsi"/>
        <w:sz w:val="24"/>
      </w:rPr>
      <w:instrText xml:space="preserve"> FILENAME   \* MERGEFORMAT </w:instrText>
    </w:r>
    <w:r w:rsidRPr="005D4129">
      <w:rPr>
        <w:rFonts w:cstheme="minorHAnsi"/>
        <w:sz w:val="24"/>
      </w:rPr>
      <w:fldChar w:fldCharType="separate"/>
    </w:r>
    <w:r w:rsidR="00183E4D">
      <w:rPr>
        <w:rFonts w:cstheme="minorHAnsi"/>
        <w:noProof/>
        <w:sz w:val="24"/>
      </w:rPr>
      <w:t>FIX Protocol Gap Analysis - CME UOM and TrdSubType Enhancements v0.4.docx</w:t>
    </w:r>
    <w:r w:rsidRPr="005D4129">
      <w:rPr>
        <w:rFonts w:cstheme="minorHAnsi"/>
        <w:noProof/>
        <w:sz w:val="24"/>
      </w:rPr>
      <w:fldChar w:fldCharType="end"/>
    </w:r>
    <w:r w:rsidRPr="005D4129">
      <w:rPr>
        <w:rFonts w:cstheme="minorHAnsi"/>
        <w:noProof/>
        <w:sz w:val="24"/>
      </w:rPr>
      <w:tab/>
    </w:r>
    <w:r w:rsidRPr="005D4129">
      <w:rPr>
        <w:rFonts w:cstheme="minorHAnsi"/>
        <w:sz w:val="24"/>
      </w:rPr>
      <w:fldChar w:fldCharType="begin"/>
    </w:r>
    <w:r w:rsidRPr="005D4129">
      <w:rPr>
        <w:rFonts w:cstheme="minorHAnsi"/>
        <w:sz w:val="24"/>
      </w:rPr>
      <w:instrText xml:space="preserve"> REF  RevDate  \* MERGEFORMAT </w:instrText>
    </w:r>
    <w:r w:rsidRPr="005D4129">
      <w:rPr>
        <w:rFonts w:cstheme="minorHAnsi"/>
        <w:sz w:val="24"/>
      </w:rPr>
      <w:fldChar w:fldCharType="separate"/>
    </w:r>
    <w:r w:rsidR="00101EB7" w:rsidRPr="00101EB7">
      <w:rPr>
        <w:rFonts w:cstheme="minorHAnsi"/>
        <w:sz w:val="24"/>
      </w:rPr>
      <w:t>May 2, 2018</w:t>
    </w:r>
    <w:r w:rsidRPr="005D4129">
      <w:rPr>
        <w:rFonts w:cstheme="minorHAnsi"/>
        <w:sz w:val="24"/>
      </w:rPr>
      <w:fldChar w:fldCharType="end"/>
    </w:r>
    <w:r w:rsidRPr="005D4129">
      <w:rPr>
        <w:rFonts w:cstheme="minorHAnsi"/>
        <w:sz w:val="24"/>
      </w:rPr>
      <w:t xml:space="preserve"> - </w:t>
    </w:r>
    <w:r w:rsidRPr="005D4129">
      <w:rPr>
        <w:rFonts w:cstheme="minorHAnsi"/>
        <w:sz w:val="24"/>
      </w:rPr>
      <w:fldChar w:fldCharType="begin"/>
    </w:r>
    <w:r w:rsidRPr="005D4129">
      <w:rPr>
        <w:rFonts w:cstheme="minorHAnsi"/>
        <w:sz w:val="24"/>
      </w:rPr>
      <w:instrText xml:space="preserve"> REF  RevNum  \* MERGEFORMAT </w:instrText>
    </w:r>
    <w:r w:rsidRPr="005D4129">
      <w:rPr>
        <w:rFonts w:cstheme="minorHAnsi"/>
        <w:sz w:val="24"/>
      </w:rPr>
      <w:fldChar w:fldCharType="separate"/>
    </w:r>
    <w:r w:rsidR="00183E4D" w:rsidRPr="00183E4D">
      <w:rPr>
        <w:rFonts w:cstheme="minorHAnsi"/>
        <w:sz w:val="24"/>
      </w:rPr>
      <w:t>Revision 0.4</w:t>
    </w:r>
    <w:r w:rsidRPr="005D4129">
      <w:rPr>
        <w:rFonts w:cstheme="minorHAnsi"/>
        <w:sz w:val="24"/>
      </w:rPr>
      <w:fldChar w:fldCharType="end"/>
    </w:r>
  </w:p>
  <w:p w14:paraId="79F26032" w14:textId="3C1946D2" w:rsidR="005D4129" w:rsidRPr="0041699E" w:rsidRDefault="005D4129" w:rsidP="00416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EB450DA"/>
    <w:multiLevelType w:val="hybridMultilevel"/>
    <w:tmpl w:val="23BE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AF6F77"/>
    <w:multiLevelType w:val="hybridMultilevel"/>
    <w:tmpl w:val="6DB2A364"/>
    <w:lvl w:ilvl="0" w:tplc="B9B857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B37EE"/>
    <w:multiLevelType w:val="hybridMultilevel"/>
    <w:tmpl w:val="5D5AC6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956628"/>
    <w:multiLevelType w:val="hybridMultilevel"/>
    <w:tmpl w:val="57F82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8"/>
  </w:num>
  <w:num w:numId="3">
    <w:abstractNumId w:val="9"/>
  </w:num>
  <w:num w:numId="4">
    <w:abstractNumId w:val="2"/>
  </w:num>
  <w:num w:numId="5">
    <w:abstractNumId w:val="6"/>
  </w:num>
  <w:num w:numId="6">
    <w:abstractNumId w:val="7"/>
  </w:num>
  <w:num w:numId="7">
    <w:abstractNumId w:val="1"/>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F"/>
    <w:rsid w:val="000000BA"/>
    <w:rsid w:val="00000535"/>
    <w:rsid w:val="00003415"/>
    <w:rsid w:val="000116D8"/>
    <w:rsid w:val="0001312C"/>
    <w:rsid w:val="00013186"/>
    <w:rsid w:val="00014E1F"/>
    <w:rsid w:val="00026090"/>
    <w:rsid w:val="00030D69"/>
    <w:rsid w:val="0003140F"/>
    <w:rsid w:val="00033091"/>
    <w:rsid w:val="000512D4"/>
    <w:rsid w:val="00054757"/>
    <w:rsid w:val="00057316"/>
    <w:rsid w:val="00061A17"/>
    <w:rsid w:val="00064BED"/>
    <w:rsid w:val="00074817"/>
    <w:rsid w:val="0008633A"/>
    <w:rsid w:val="00092D9A"/>
    <w:rsid w:val="00094E8B"/>
    <w:rsid w:val="000A558C"/>
    <w:rsid w:val="000A6EDF"/>
    <w:rsid w:val="000B410A"/>
    <w:rsid w:val="000C07A8"/>
    <w:rsid w:val="000C45C0"/>
    <w:rsid w:val="000D37EB"/>
    <w:rsid w:val="000D4D76"/>
    <w:rsid w:val="000D6351"/>
    <w:rsid w:val="000D72D1"/>
    <w:rsid w:val="000E37C3"/>
    <w:rsid w:val="000E4262"/>
    <w:rsid w:val="000E4635"/>
    <w:rsid w:val="000F05F3"/>
    <w:rsid w:val="000F0EE9"/>
    <w:rsid w:val="000F1995"/>
    <w:rsid w:val="000F25AA"/>
    <w:rsid w:val="000F417C"/>
    <w:rsid w:val="000F6E0E"/>
    <w:rsid w:val="00101EB7"/>
    <w:rsid w:val="001140E7"/>
    <w:rsid w:val="001152AD"/>
    <w:rsid w:val="00116FD0"/>
    <w:rsid w:val="001224E5"/>
    <w:rsid w:val="001235E4"/>
    <w:rsid w:val="0013272C"/>
    <w:rsid w:val="00132FEC"/>
    <w:rsid w:val="001364B5"/>
    <w:rsid w:val="00136E5A"/>
    <w:rsid w:val="00142D98"/>
    <w:rsid w:val="0014781F"/>
    <w:rsid w:val="001479C8"/>
    <w:rsid w:val="0015574C"/>
    <w:rsid w:val="001603E7"/>
    <w:rsid w:val="00163CFE"/>
    <w:rsid w:val="001642CC"/>
    <w:rsid w:val="001649A7"/>
    <w:rsid w:val="001676A6"/>
    <w:rsid w:val="00171BC7"/>
    <w:rsid w:val="0017214F"/>
    <w:rsid w:val="00172ACC"/>
    <w:rsid w:val="001757D9"/>
    <w:rsid w:val="00176BD7"/>
    <w:rsid w:val="00180A79"/>
    <w:rsid w:val="00183E4D"/>
    <w:rsid w:val="001868FE"/>
    <w:rsid w:val="0019025B"/>
    <w:rsid w:val="0019067F"/>
    <w:rsid w:val="00196657"/>
    <w:rsid w:val="001A7F4E"/>
    <w:rsid w:val="001B4C2C"/>
    <w:rsid w:val="001B66A8"/>
    <w:rsid w:val="001D07F9"/>
    <w:rsid w:val="001D5EA9"/>
    <w:rsid w:val="001F5CF8"/>
    <w:rsid w:val="00200CE9"/>
    <w:rsid w:val="002077A2"/>
    <w:rsid w:val="0021122A"/>
    <w:rsid w:val="0021271F"/>
    <w:rsid w:val="00220707"/>
    <w:rsid w:val="00223953"/>
    <w:rsid w:val="00226D0E"/>
    <w:rsid w:val="002328BD"/>
    <w:rsid w:val="00234905"/>
    <w:rsid w:val="00237C9C"/>
    <w:rsid w:val="0024297A"/>
    <w:rsid w:val="00244CC5"/>
    <w:rsid w:val="00245112"/>
    <w:rsid w:val="002475BD"/>
    <w:rsid w:val="002526CD"/>
    <w:rsid w:val="002538F6"/>
    <w:rsid w:val="00262439"/>
    <w:rsid w:val="0026455D"/>
    <w:rsid w:val="00265649"/>
    <w:rsid w:val="00267997"/>
    <w:rsid w:val="00275A0C"/>
    <w:rsid w:val="00290590"/>
    <w:rsid w:val="002926A8"/>
    <w:rsid w:val="0029769A"/>
    <w:rsid w:val="002B50B9"/>
    <w:rsid w:val="002C0C7B"/>
    <w:rsid w:val="002C4DC5"/>
    <w:rsid w:val="002D0B05"/>
    <w:rsid w:val="002D3A24"/>
    <w:rsid w:val="002D794C"/>
    <w:rsid w:val="002E2A7B"/>
    <w:rsid w:val="002E7FCD"/>
    <w:rsid w:val="002F14EB"/>
    <w:rsid w:val="002F670F"/>
    <w:rsid w:val="002F733A"/>
    <w:rsid w:val="00304CFB"/>
    <w:rsid w:val="003061F2"/>
    <w:rsid w:val="0031072B"/>
    <w:rsid w:val="00312C37"/>
    <w:rsid w:val="00312D21"/>
    <w:rsid w:val="003234BC"/>
    <w:rsid w:val="003275A2"/>
    <w:rsid w:val="003318F4"/>
    <w:rsid w:val="00331B08"/>
    <w:rsid w:val="00341D8F"/>
    <w:rsid w:val="00342D18"/>
    <w:rsid w:val="003579C6"/>
    <w:rsid w:val="00367DE5"/>
    <w:rsid w:val="003704FE"/>
    <w:rsid w:val="00376E66"/>
    <w:rsid w:val="003834DA"/>
    <w:rsid w:val="003921F8"/>
    <w:rsid w:val="0039292F"/>
    <w:rsid w:val="00394651"/>
    <w:rsid w:val="003A373C"/>
    <w:rsid w:val="003A4713"/>
    <w:rsid w:val="003C0DA3"/>
    <w:rsid w:val="003C0F3D"/>
    <w:rsid w:val="003C35DC"/>
    <w:rsid w:val="003C442B"/>
    <w:rsid w:val="003D3414"/>
    <w:rsid w:val="003E46F0"/>
    <w:rsid w:val="003E56F8"/>
    <w:rsid w:val="003F232B"/>
    <w:rsid w:val="003F27AC"/>
    <w:rsid w:val="003F4689"/>
    <w:rsid w:val="003F6949"/>
    <w:rsid w:val="00403113"/>
    <w:rsid w:val="00404AA6"/>
    <w:rsid w:val="004109C7"/>
    <w:rsid w:val="00414EBB"/>
    <w:rsid w:val="0041640D"/>
    <w:rsid w:val="0041699E"/>
    <w:rsid w:val="0042107C"/>
    <w:rsid w:val="0042314F"/>
    <w:rsid w:val="004237F7"/>
    <w:rsid w:val="004251BD"/>
    <w:rsid w:val="0043045D"/>
    <w:rsid w:val="00433D0E"/>
    <w:rsid w:val="00434773"/>
    <w:rsid w:val="004610B0"/>
    <w:rsid w:val="004713DE"/>
    <w:rsid w:val="00471E80"/>
    <w:rsid w:val="0047258B"/>
    <w:rsid w:val="00476FC7"/>
    <w:rsid w:val="00477DF2"/>
    <w:rsid w:val="00480500"/>
    <w:rsid w:val="004829A2"/>
    <w:rsid w:val="00486D27"/>
    <w:rsid w:val="004971AC"/>
    <w:rsid w:val="004976D0"/>
    <w:rsid w:val="004A03CA"/>
    <w:rsid w:val="004A3B9E"/>
    <w:rsid w:val="004B0175"/>
    <w:rsid w:val="004C5FAF"/>
    <w:rsid w:val="004C6F4F"/>
    <w:rsid w:val="004E1E17"/>
    <w:rsid w:val="004E3CEB"/>
    <w:rsid w:val="004E61CC"/>
    <w:rsid w:val="004E7340"/>
    <w:rsid w:val="004F20B7"/>
    <w:rsid w:val="004F5323"/>
    <w:rsid w:val="004F59AA"/>
    <w:rsid w:val="00501911"/>
    <w:rsid w:val="00505A32"/>
    <w:rsid w:val="00505DE0"/>
    <w:rsid w:val="0052062D"/>
    <w:rsid w:val="00520C30"/>
    <w:rsid w:val="005247B3"/>
    <w:rsid w:val="00527264"/>
    <w:rsid w:val="0052796A"/>
    <w:rsid w:val="005303DA"/>
    <w:rsid w:val="0055487C"/>
    <w:rsid w:val="00563119"/>
    <w:rsid w:val="00563BE3"/>
    <w:rsid w:val="005657A3"/>
    <w:rsid w:val="005743DC"/>
    <w:rsid w:val="00583464"/>
    <w:rsid w:val="0058397C"/>
    <w:rsid w:val="00583E82"/>
    <w:rsid w:val="0058434F"/>
    <w:rsid w:val="00587FD0"/>
    <w:rsid w:val="00591C63"/>
    <w:rsid w:val="00592FF5"/>
    <w:rsid w:val="00595D9C"/>
    <w:rsid w:val="005A1C9D"/>
    <w:rsid w:val="005A33ED"/>
    <w:rsid w:val="005B57A2"/>
    <w:rsid w:val="005C2A42"/>
    <w:rsid w:val="005C3238"/>
    <w:rsid w:val="005C392E"/>
    <w:rsid w:val="005C714E"/>
    <w:rsid w:val="005D4129"/>
    <w:rsid w:val="005D628B"/>
    <w:rsid w:val="005E285E"/>
    <w:rsid w:val="005E4EA8"/>
    <w:rsid w:val="005F0A5D"/>
    <w:rsid w:val="005F347A"/>
    <w:rsid w:val="005F3D3D"/>
    <w:rsid w:val="005F75BF"/>
    <w:rsid w:val="006038CE"/>
    <w:rsid w:val="0060604C"/>
    <w:rsid w:val="0061223B"/>
    <w:rsid w:val="00620ECC"/>
    <w:rsid w:val="006303FC"/>
    <w:rsid w:val="00640B1F"/>
    <w:rsid w:val="00644F4D"/>
    <w:rsid w:val="00651F8D"/>
    <w:rsid w:val="006529D6"/>
    <w:rsid w:val="00652D01"/>
    <w:rsid w:val="006616B7"/>
    <w:rsid w:val="006667EA"/>
    <w:rsid w:val="00676087"/>
    <w:rsid w:val="006871AD"/>
    <w:rsid w:val="00696841"/>
    <w:rsid w:val="006B4982"/>
    <w:rsid w:val="006C1ED9"/>
    <w:rsid w:val="006C2CC2"/>
    <w:rsid w:val="006D3440"/>
    <w:rsid w:val="006D51E3"/>
    <w:rsid w:val="006D73EC"/>
    <w:rsid w:val="006E24EA"/>
    <w:rsid w:val="006E7651"/>
    <w:rsid w:val="006F30D2"/>
    <w:rsid w:val="0070266E"/>
    <w:rsid w:val="007414CC"/>
    <w:rsid w:val="0074296B"/>
    <w:rsid w:val="00747D0D"/>
    <w:rsid w:val="007523B3"/>
    <w:rsid w:val="00757739"/>
    <w:rsid w:val="007600CB"/>
    <w:rsid w:val="0076019B"/>
    <w:rsid w:val="0076094A"/>
    <w:rsid w:val="00767265"/>
    <w:rsid w:val="007706C9"/>
    <w:rsid w:val="0077530E"/>
    <w:rsid w:val="00783746"/>
    <w:rsid w:val="00790BBB"/>
    <w:rsid w:val="0079190B"/>
    <w:rsid w:val="007A169C"/>
    <w:rsid w:val="007A6DB5"/>
    <w:rsid w:val="007C562E"/>
    <w:rsid w:val="007C7FAE"/>
    <w:rsid w:val="007D238B"/>
    <w:rsid w:val="007D324F"/>
    <w:rsid w:val="007D3B45"/>
    <w:rsid w:val="007E03BB"/>
    <w:rsid w:val="007F08B6"/>
    <w:rsid w:val="007F233D"/>
    <w:rsid w:val="007F5D1F"/>
    <w:rsid w:val="0080139B"/>
    <w:rsid w:val="00804D08"/>
    <w:rsid w:val="00807B37"/>
    <w:rsid w:val="00814E9D"/>
    <w:rsid w:val="00821E6C"/>
    <w:rsid w:val="008243A2"/>
    <w:rsid w:val="008401E6"/>
    <w:rsid w:val="008425FA"/>
    <w:rsid w:val="00844474"/>
    <w:rsid w:val="00847261"/>
    <w:rsid w:val="0084776A"/>
    <w:rsid w:val="008478EA"/>
    <w:rsid w:val="00853CEE"/>
    <w:rsid w:val="00861128"/>
    <w:rsid w:val="00867B56"/>
    <w:rsid w:val="00884DCF"/>
    <w:rsid w:val="0088555D"/>
    <w:rsid w:val="008922DD"/>
    <w:rsid w:val="0089277B"/>
    <w:rsid w:val="008B6EDD"/>
    <w:rsid w:val="008C1910"/>
    <w:rsid w:val="008C7F9E"/>
    <w:rsid w:val="008D6C94"/>
    <w:rsid w:val="008F3EED"/>
    <w:rsid w:val="008F72BB"/>
    <w:rsid w:val="009011E6"/>
    <w:rsid w:val="00901989"/>
    <w:rsid w:val="00901CD2"/>
    <w:rsid w:val="00903A35"/>
    <w:rsid w:val="00912540"/>
    <w:rsid w:val="009236A3"/>
    <w:rsid w:val="00931A79"/>
    <w:rsid w:val="009333BE"/>
    <w:rsid w:val="00936649"/>
    <w:rsid w:val="00937B47"/>
    <w:rsid w:val="009530E9"/>
    <w:rsid w:val="009651DD"/>
    <w:rsid w:val="00973E86"/>
    <w:rsid w:val="00975013"/>
    <w:rsid w:val="0097609E"/>
    <w:rsid w:val="009868E2"/>
    <w:rsid w:val="00987047"/>
    <w:rsid w:val="00987357"/>
    <w:rsid w:val="0099120E"/>
    <w:rsid w:val="00992388"/>
    <w:rsid w:val="009929CD"/>
    <w:rsid w:val="00994E1B"/>
    <w:rsid w:val="00994FA0"/>
    <w:rsid w:val="009968FC"/>
    <w:rsid w:val="00996A77"/>
    <w:rsid w:val="009A1F10"/>
    <w:rsid w:val="009B17A4"/>
    <w:rsid w:val="009B2037"/>
    <w:rsid w:val="009B2DB8"/>
    <w:rsid w:val="009C4469"/>
    <w:rsid w:val="009D4778"/>
    <w:rsid w:val="009E0208"/>
    <w:rsid w:val="009E6F16"/>
    <w:rsid w:val="009F5C7A"/>
    <w:rsid w:val="00A0045E"/>
    <w:rsid w:val="00A00614"/>
    <w:rsid w:val="00A01640"/>
    <w:rsid w:val="00A01B5A"/>
    <w:rsid w:val="00A022A8"/>
    <w:rsid w:val="00A04B60"/>
    <w:rsid w:val="00A1162B"/>
    <w:rsid w:val="00A16288"/>
    <w:rsid w:val="00A17DA8"/>
    <w:rsid w:val="00A278A4"/>
    <w:rsid w:val="00A306F0"/>
    <w:rsid w:val="00A32304"/>
    <w:rsid w:val="00A33B7B"/>
    <w:rsid w:val="00A409E1"/>
    <w:rsid w:val="00A42E76"/>
    <w:rsid w:val="00A44372"/>
    <w:rsid w:val="00A610F6"/>
    <w:rsid w:val="00A7567E"/>
    <w:rsid w:val="00A77AE4"/>
    <w:rsid w:val="00A90838"/>
    <w:rsid w:val="00A90B51"/>
    <w:rsid w:val="00A95B0D"/>
    <w:rsid w:val="00A960AD"/>
    <w:rsid w:val="00AA2080"/>
    <w:rsid w:val="00AA5A94"/>
    <w:rsid w:val="00AB2374"/>
    <w:rsid w:val="00AB3378"/>
    <w:rsid w:val="00AB36DF"/>
    <w:rsid w:val="00AB4EE6"/>
    <w:rsid w:val="00AC76DD"/>
    <w:rsid w:val="00AD37B3"/>
    <w:rsid w:val="00AE396C"/>
    <w:rsid w:val="00AE4461"/>
    <w:rsid w:val="00AE6BF8"/>
    <w:rsid w:val="00B000DA"/>
    <w:rsid w:val="00B01513"/>
    <w:rsid w:val="00B062EF"/>
    <w:rsid w:val="00B17101"/>
    <w:rsid w:val="00B213BE"/>
    <w:rsid w:val="00B30B63"/>
    <w:rsid w:val="00B511DA"/>
    <w:rsid w:val="00B771AD"/>
    <w:rsid w:val="00B918B4"/>
    <w:rsid w:val="00B9205D"/>
    <w:rsid w:val="00BA2A9B"/>
    <w:rsid w:val="00BA4251"/>
    <w:rsid w:val="00BA5DE2"/>
    <w:rsid w:val="00BA62DA"/>
    <w:rsid w:val="00BB02E1"/>
    <w:rsid w:val="00BB39AF"/>
    <w:rsid w:val="00BB510E"/>
    <w:rsid w:val="00BB6E5D"/>
    <w:rsid w:val="00BC0ACD"/>
    <w:rsid w:val="00BC2806"/>
    <w:rsid w:val="00BC67C8"/>
    <w:rsid w:val="00BD14CC"/>
    <w:rsid w:val="00BD39FB"/>
    <w:rsid w:val="00BE19D2"/>
    <w:rsid w:val="00BE2DF5"/>
    <w:rsid w:val="00BE5C1B"/>
    <w:rsid w:val="00BF05B7"/>
    <w:rsid w:val="00BF1247"/>
    <w:rsid w:val="00BF167A"/>
    <w:rsid w:val="00BF2817"/>
    <w:rsid w:val="00BF2B75"/>
    <w:rsid w:val="00BF4D4A"/>
    <w:rsid w:val="00BF7553"/>
    <w:rsid w:val="00C06CE1"/>
    <w:rsid w:val="00C12A35"/>
    <w:rsid w:val="00C16A2A"/>
    <w:rsid w:val="00C25F4C"/>
    <w:rsid w:val="00C3262B"/>
    <w:rsid w:val="00C3713E"/>
    <w:rsid w:val="00C47DDA"/>
    <w:rsid w:val="00C556D1"/>
    <w:rsid w:val="00C55E51"/>
    <w:rsid w:val="00C570BF"/>
    <w:rsid w:val="00C62239"/>
    <w:rsid w:val="00C7042A"/>
    <w:rsid w:val="00C714B5"/>
    <w:rsid w:val="00C719A4"/>
    <w:rsid w:val="00C72B2C"/>
    <w:rsid w:val="00C75885"/>
    <w:rsid w:val="00C80CED"/>
    <w:rsid w:val="00C818EE"/>
    <w:rsid w:val="00C826BD"/>
    <w:rsid w:val="00C83B76"/>
    <w:rsid w:val="00CA540C"/>
    <w:rsid w:val="00CA753B"/>
    <w:rsid w:val="00CA7C7F"/>
    <w:rsid w:val="00CB0353"/>
    <w:rsid w:val="00CB0E71"/>
    <w:rsid w:val="00CB23A6"/>
    <w:rsid w:val="00CC134C"/>
    <w:rsid w:val="00CE5BBD"/>
    <w:rsid w:val="00CF1441"/>
    <w:rsid w:val="00CF1FF8"/>
    <w:rsid w:val="00CF26FD"/>
    <w:rsid w:val="00D001DD"/>
    <w:rsid w:val="00D07E32"/>
    <w:rsid w:val="00D10E43"/>
    <w:rsid w:val="00D13733"/>
    <w:rsid w:val="00D1601F"/>
    <w:rsid w:val="00D2530D"/>
    <w:rsid w:val="00D268D1"/>
    <w:rsid w:val="00D275C7"/>
    <w:rsid w:val="00D348C4"/>
    <w:rsid w:val="00D50272"/>
    <w:rsid w:val="00D55EE6"/>
    <w:rsid w:val="00D6077C"/>
    <w:rsid w:val="00D7117B"/>
    <w:rsid w:val="00D73942"/>
    <w:rsid w:val="00D757F6"/>
    <w:rsid w:val="00D77A22"/>
    <w:rsid w:val="00D82F8E"/>
    <w:rsid w:val="00D84744"/>
    <w:rsid w:val="00D873DF"/>
    <w:rsid w:val="00D92D26"/>
    <w:rsid w:val="00D9639E"/>
    <w:rsid w:val="00D971C8"/>
    <w:rsid w:val="00DA516F"/>
    <w:rsid w:val="00DA78C3"/>
    <w:rsid w:val="00DA7E02"/>
    <w:rsid w:val="00DB08DD"/>
    <w:rsid w:val="00DB1482"/>
    <w:rsid w:val="00DB4BB5"/>
    <w:rsid w:val="00DC0153"/>
    <w:rsid w:val="00DC6183"/>
    <w:rsid w:val="00DC7F56"/>
    <w:rsid w:val="00DD44E0"/>
    <w:rsid w:val="00DD675E"/>
    <w:rsid w:val="00DE09E2"/>
    <w:rsid w:val="00DE4E99"/>
    <w:rsid w:val="00DE6E25"/>
    <w:rsid w:val="00DE73AD"/>
    <w:rsid w:val="00DF6D9F"/>
    <w:rsid w:val="00E03726"/>
    <w:rsid w:val="00E047F1"/>
    <w:rsid w:val="00E065EC"/>
    <w:rsid w:val="00E06C8D"/>
    <w:rsid w:val="00E075B2"/>
    <w:rsid w:val="00E20540"/>
    <w:rsid w:val="00E22A62"/>
    <w:rsid w:val="00E233B5"/>
    <w:rsid w:val="00E25DFE"/>
    <w:rsid w:val="00E27F36"/>
    <w:rsid w:val="00E35297"/>
    <w:rsid w:val="00E36BED"/>
    <w:rsid w:val="00E40B3C"/>
    <w:rsid w:val="00E50793"/>
    <w:rsid w:val="00E55BA5"/>
    <w:rsid w:val="00E61940"/>
    <w:rsid w:val="00E627E4"/>
    <w:rsid w:val="00E71CA9"/>
    <w:rsid w:val="00E738E0"/>
    <w:rsid w:val="00E82119"/>
    <w:rsid w:val="00E821C4"/>
    <w:rsid w:val="00E90785"/>
    <w:rsid w:val="00E939C3"/>
    <w:rsid w:val="00E9514B"/>
    <w:rsid w:val="00EA0425"/>
    <w:rsid w:val="00EA1388"/>
    <w:rsid w:val="00EA357B"/>
    <w:rsid w:val="00EA6799"/>
    <w:rsid w:val="00EB03A8"/>
    <w:rsid w:val="00EC0321"/>
    <w:rsid w:val="00EC1B71"/>
    <w:rsid w:val="00EC4FFB"/>
    <w:rsid w:val="00EC7346"/>
    <w:rsid w:val="00ED1FB9"/>
    <w:rsid w:val="00ED5455"/>
    <w:rsid w:val="00ED743E"/>
    <w:rsid w:val="00EE0202"/>
    <w:rsid w:val="00EE42A3"/>
    <w:rsid w:val="00EF2080"/>
    <w:rsid w:val="00EF4009"/>
    <w:rsid w:val="00EF509C"/>
    <w:rsid w:val="00F005C6"/>
    <w:rsid w:val="00F03DD0"/>
    <w:rsid w:val="00F22C32"/>
    <w:rsid w:val="00F2510C"/>
    <w:rsid w:val="00F31B2D"/>
    <w:rsid w:val="00F47594"/>
    <w:rsid w:val="00F5250F"/>
    <w:rsid w:val="00F54283"/>
    <w:rsid w:val="00F559C4"/>
    <w:rsid w:val="00F57236"/>
    <w:rsid w:val="00F73381"/>
    <w:rsid w:val="00F7342D"/>
    <w:rsid w:val="00F76A20"/>
    <w:rsid w:val="00F82752"/>
    <w:rsid w:val="00F837F7"/>
    <w:rsid w:val="00F85F52"/>
    <w:rsid w:val="00F86539"/>
    <w:rsid w:val="00F91AA8"/>
    <w:rsid w:val="00F97A76"/>
    <w:rsid w:val="00FA26B3"/>
    <w:rsid w:val="00FA3D6B"/>
    <w:rsid w:val="00FB6AF6"/>
    <w:rsid w:val="00FD5934"/>
    <w:rsid w:val="00FE14D7"/>
    <w:rsid w:val="00FE1E6E"/>
    <w:rsid w:val="00FE2231"/>
    <w:rsid w:val="00FE75E1"/>
    <w:rsid w:val="00FF1458"/>
    <w:rsid w:val="00FF1683"/>
    <w:rsid w:val="00FF2130"/>
    <w:rsid w:val="00FF3266"/>
    <w:rsid w:val="00FF3727"/>
    <w:rsid w:val="00FF3AC3"/>
    <w:rsid w:val="00FF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BFE950"/>
  <w15:docId w15:val="{A0CC036A-C01E-47C6-9199-155D302F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link w:val="Heading1Char"/>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customStyle="1" w:styleId="TableParagraph">
    <w:name w:val="Table Paragraph"/>
    <w:basedOn w:val="Normal"/>
    <w:qFormat/>
    <w:rsid w:val="00C83B76"/>
    <w:pPr>
      <w:spacing w:after="60"/>
    </w:pPr>
    <w:rPr>
      <w:sz w:val="20"/>
    </w:rPr>
  </w:style>
  <w:style w:type="character" w:customStyle="1" w:styleId="BodyTextChar">
    <w:name w:val="Body Text Char"/>
    <w:basedOn w:val="DefaultParagraphFont"/>
    <w:link w:val="BodyText"/>
    <w:rsid w:val="00200CE9"/>
    <w:rPr>
      <w:rFonts w:asciiTheme="minorHAnsi" w:hAnsiTheme="minorHAnsi"/>
      <w:sz w:val="22"/>
      <w:szCs w:val="24"/>
      <w:lang w:val="en-US" w:eastAsia="en-US"/>
    </w:rPr>
  </w:style>
  <w:style w:type="paragraph" w:styleId="Caption">
    <w:name w:val="caption"/>
    <w:basedOn w:val="Normal"/>
    <w:next w:val="Normal"/>
    <w:unhideWhenUsed/>
    <w:qFormat/>
    <w:rsid w:val="00A04B60"/>
    <w:pPr>
      <w:keepNext/>
      <w:spacing w:after="120"/>
    </w:pPr>
    <w:rPr>
      <w:b/>
      <w:bCs/>
      <w:color w:val="4F81BD" w:themeColor="accent1"/>
      <w:szCs w:val="22"/>
    </w:rPr>
  </w:style>
  <w:style w:type="paragraph" w:styleId="TableofFigures">
    <w:name w:val="table of figures"/>
    <w:basedOn w:val="Normal"/>
    <w:next w:val="Normal"/>
    <w:uiPriority w:val="99"/>
    <w:unhideWhenUsed/>
    <w:rsid w:val="00A04B60"/>
  </w:style>
  <w:style w:type="character" w:customStyle="1" w:styleId="Heading1Char">
    <w:name w:val="Heading 1 Char"/>
    <w:basedOn w:val="DefaultParagraphFont"/>
    <w:link w:val="Heading1"/>
    <w:uiPriority w:val="9"/>
    <w:rsid w:val="00EF509C"/>
    <w:rPr>
      <w:rFonts w:ascii="Arial" w:hAnsi="Arial" w:cs="Arial"/>
      <w:b/>
      <w:bCs/>
      <w:kern w:val="32"/>
      <w:sz w:val="32"/>
      <w:szCs w:val="32"/>
      <w:lang w:val="en-US" w:eastAsia="en-US"/>
    </w:rPr>
  </w:style>
  <w:style w:type="paragraph" w:styleId="ListParagraph">
    <w:name w:val="List Paragraph"/>
    <w:basedOn w:val="Normal"/>
    <w:uiPriority w:val="34"/>
    <w:qFormat/>
    <w:rsid w:val="00844474"/>
    <w:pPr>
      <w:ind w:left="720"/>
      <w:contextualSpacing/>
    </w:pPr>
  </w:style>
  <w:style w:type="paragraph" w:styleId="HTMLPreformatted">
    <w:name w:val="HTML Preformatted"/>
    <w:basedOn w:val="Normal"/>
    <w:link w:val="HTMLPreformattedChar"/>
    <w:uiPriority w:val="99"/>
    <w:unhideWhenUsed/>
    <w:rsid w:val="00064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64BED"/>
    <w:rPr>
      <w:rFonts w:ascii="Courier New" w:hAnsi="Courier New" w:cs="Courier New"/>
      <w:lang w:val="en-US" w:eastAsia="en-US"/>
    </w:rPr>
  </w:style>
  <w:style w:type="character" w:customStyle="1" w:styleId="UnresolvedMention1">
    <w:name w:val="Unresolved Mention1"/>
    <w:basedOn w:val="DefaultParagraphFont"/>
    <w:uiPriority w:val="99"/>
    <w:semiHidden/>
    <w:unhideWhenUsed/>
    <w:rsid w:val="005F347A"/>
    <w:rPr>
      <w:color w:val="808080"/>
      <w:shd w:val="clear" w:color="auto" w:fill="E6E6E6"/>
    </w:rPr>
  </w:style>
  <w:style w:type="character" w:styleId="FollowedHyperlink">
    <w:name w:val="FollowedHyperlink"/>
    <w:basedOn w:val="DefaultParagraphFont"/>
    <w:semiHidden/>
    <w:unhideWhenUsed/>
    <w:rsid w:val="00D607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0893">
      <w:bodyDiv w:val="1"/>
      <w:marLeft w:val="0"/>
      <w:marRight w:val="0"/>
      <w:marTop w:val="0"/>
      <w:marBottom w:val="0"/>
      <w:divBdr>
        <w:top w:val="none" w:sz="0" w:space="0" w:color="auto"/>
        <w:left w:val="none" w:sz="0" w:space="0" w:color="auto"/>
        <w:bottom w:val="none" w:sz="0" w:space="0" w:color="auto"/>
        <w:right w:val="none" w:sz="0" w:space="0" w:color="auto"/>
      </w:divBdr>
    </w:div>
    <w:div w:id="501164255">
      <w:bodyDiv w:val="1"/>
      <w:marLeft w:val="0"/>
      <w:marRight w:val="0"/>
      <w:marTop w:val="0"/>
      <w:marBottom w:val="0"/>
      <w:divBdr>
        <w:top w:val="none" w:sz="0" w:space="0" w:color="auto"/>
        <w:left w:val="none" w:sz="0" w:space="0" w:color="auto"/>
        <w:bottom w:val="none" w:sz="0" w:space="0" w:color="auto"/>
        <w:right w:val="none" w:sz="0" w:space="0" w:color="auto"/>
      </w:divBdr>
    </w:div>
    <w:div w:id="523253935">
      <w:bodyDiv w:val="1"/>
      <w:marLeft w:val="0"/>
      <w:marRight w:val="0"/>
      <w:marTop w:val="0"/>
      <w:marBottom w:val="0"/>
      <w:divBdr>
        <w:top w:val="none" w:sz="0" w:space="0" w:color="auto"/>
        <w:left w:val="none" w:sz="0" w:space="0" w:color="auto"/>
        <w:bottom w:val="none" w:sz="0" w:space="0" w:color="auto"/>
        <w:right w:val="none" w:sz="0" w:space="0" w:color="auto"/>
      </w:divBdr>
    </w:div>
    <w:div w:id="756824219">
      <w:bodyDiv w:val="1"/>
      <w:marLeft w:val="0"/>
      <w:marRight w:val="0"/>
      <w:marTop w:val="0"/>
      <w:marBottom w:val="0"/>
      <w:divBdr>
        <w:top w:val="none" w:sz="0" w:space="0" w:color="auto"/>
        <w:left w:val="none" w:sz="0" w:space="0" w:color="auto"/>
        <w:bottom w:val="none" w:sz="0" w:space="0" w:color="auto"/>
        <w:right w:val="none" w:sz="0" w:space="0" w:color="auto"/>
      </w:divBdr>
    </w:div>
    <w:div w:id="953483600">
      <w:bodyDiv w:val="1"/>
      <w:marLeft w:val="0"/>
      <w:marRight w:val="0"/>
      <w:marTop w:val="0"/>
      <w:marBottom w:val="0"/>
      <w:divBdr>
        <w:top w:val="none" w:sz="0" w:space="0" w:color="auto"/>
        <w:left w:val="none" w:sz="0" w:space="0" w:color="auto"/>
        <w:bottom w:val="none" w:sz="0" w:space="0" w:color="auto"/>
        <w:right w:val="none" w:sz="0" w:space="0" w:color="auto"/>
      </w:divBdr>
    </w:div>
    <w:div w:id="1105612056">
      <w:bodyDiv w:val="1"/>
      <w:marLeft w:val="0"/>
      <w:marRight w:val="0"/>
      <w:marTop w:val="0"/>
      <w:marBottom w:val="0"/>
      <w:divBdr>
        <w:top w:val="none" w:sz="0" w:space="0" w:color="auto"/>
        <w:left w:val="none" w:sz="0" w:space="0" w:color="auto"/>
        <w:bottom w:val="none" w:sz="0" w:space="0" w:color="auto"/>
        <w:right w:val="none" w:sz="0" w:space="0" w:color="auto"/>
      </w:divBdr>
    </w:div>
    <w:div w:id="1281642954">
      <w:bodyDiv w:val="1"/>
      <w:marLeft w:val="0"/>
      <w:marRight w:val="0"/>
      <w:marTop w:val="0"/>
      <w:marBottom w:val="0"/>
      <w:divBdr>
        <w:top w:val="none" w:sz="0" w:space="0" w:color="auto"/>
        <w:left w:val="none" w:sz="0" w:space="0" w:color="auto"/>
        <w:bottom w:val="none" w:sz="0" w:space="0" w:color="auto"/>
        <w:right w:val="none" w:sz="0" w:space="0" w:color="auto"/>
      </w:divBdr>
    </w:div>
    <w:div w:id="1544513798">
      <w:bodyDiv w:val="1"/>
      <w:marLeft w:val="0"/>
      <w:marRight w:val="0"/>
      <w:marTop w:val="0"/>
      <w:marBottom w:val="0"/>
      <w:divBdr>
        <w:top w:val="none" w:sz="0" w:space="0" w:color="auto"/>
        <w:left w:val="none" w:sz="0" w:space="0" w:color="auto"/>
        <w:bottom w:val="none" w:sz="0" w:space="0" w:color="auto"/>
        <w:right w:val="none" w:sz="0" w:space="0" w:color="auto"/>
      </w:divBdr>
    </w:div>
    <w:div w:id="1892620229">
      <w:bodyDiv w:val="1"/>
      <w:marLeft w:val="0"/>
      <w:marRight w:val="0"/>
      <w:marTop w:val="0"/>
      <w:marBottom w:val="0"/>
      <w:divBdr>
        <w:top w:val="none" w:sz="0" w:space="0" w:color="auto"/>
        <w:left w:val="none" w:sz="0" w:space="0" w:color="auto"/>
        <w:bottom w:val="none" w:sz="0" w:space="0" w:color="auto"/>
        <w:right w:val="none" w:sz="0" w:space="0" w:color="auto"/>
      </w:divBdr>
    </w:div>
    <w:div w:id="2029410230">
      <w:bodyDiv w:val="1"/>
      <w:marLeft w:val="0"/>
      <w:marRight w:val="0"/>
      <w:marTop w:val="0"/>
      <w:marBottom w:val="0"/>
      <w:divBdr>
        <w:top w:val="none" w:sz="0" w:space="0" w:color="auto"/>
        <w:left w:val="none" w:sz="0" w:space="0" w:color="auto"/>
        <w:bottom w:val="none" w:sz="0" w:space="0" w:color="auto"/>
        <w:right w:val="none" w:sz="0" w:space="0" w:color="auto"/>
      </w:divBdr>
    </w:div>
    <w:div w:id="21399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pidtables.com/convert/energy/kWh_to_BTU.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a.gov/tools/faqs/faq.php?id=107&amp;t=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F1DDE-4640-4656-80D6-76FE3451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11156</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Kathleen Callahan</cp:lastModifiedBy>
  <cp:revision>2</cp:revision>
  <cp:lastPrinted>2011-12-01T20:30:00Z</cp:lastPrinted>
  <dcterms:created xsi:type="dcterms:W3CDTF">2018-05-02T22:42:00Z</dcterms:created>
  <dcterms:modified xsi:type="dcterms:W3CDTF">2018-05-02T22:42:00Z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